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F14D" w14:textId="77777777" w:rsidR="007C5D7F" w:rsidRPr="00A414E4" w:rsidRDefault="007C5D7F">
      <w:pPr>
        <w:rPr>
          <w:rFonts w:cstheme="minorHAnsi"/>
        </w:rPr>
      </w:pPr>
    </w:p>
    <w:p w14:paraId="3A04F815" w14:textId="77777777" w:rsidR="007C5D7F" w:rsidRPr="00A414E4" w:rsidRDefault="007C5D7F" w:rsidP="004B66FD">
      <w:pPr>
        <w:jc w:val="right"/>
        <w:rPr>
          <w:rFonts w:cstheme="minorHAnsi"/>
        </w:rPr>
      </w:pPr>
      <w:r w:rsidRPr="00A414E4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9DCC8D" wp14:editId="0ADE7B73">
                <wp:simplePos x="0" y="0"/>
                <wp:positionH relativeFrom="margin">
                  <wp:posOffset>2971800</wp:posOffset>
                </wp:positionH>
                <wp:positionV relativeFrom="paragraph">
                  <wp:posOffset>2139950</wp:posOffset>
                </wp:positionV>
                <wp:extent cx="7696200" cy="1404620"/>
                <wp:effectExtent l="0" t="0" r="0" b="0"/>
                <wp:wrapTight wrapText="bothSides">
                  <wp:wrapPolygon edited="0">
                    <wp:start x="0" y="0"/>
                    <wp:lineTo x="0" y="21348"/>
                    <wp:lineTo x="21547" y="21348"/>
                    <wp:lineTo x="215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5F1F" w14:textId="72EDC6A3" w:rsidR="00E1231B" w:rsidRPr="00A414E4" w:rsidRDefault="00717A0D" w:rsidP="007C5D7F">
                            <w:pPr>
                              <w:jc w:val="center"/>
                              <w:rPr>
                                <w:rFonts w:ascii="Arial" w:hAnsi="Arial" w:cs="Arial"/>
                                <w:color w:val="0D1435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1435"/>
                                <w:sz w:val="72"/>
                              </w:rPr>
                              <w:t xml:space="preserve">Oasis Brightstowe </w:t>
                            </w:r>
                            <w:r w:rsidR="00983C38">
                              <w:rPr>
                                <w:rFonts w:ascii="Arial" w:hAnsi="Arial" w:cs="Arial"/>
                                <w:color w:val="0D1435"/>
                                <w:sz w:val="72"/>
                              </w:rPr>
                              <w:t>Business Studies</w:t>
                            </w:r>
                          </w:p>
                          <w:p w14:paraId="236C10CA" w14:textId="77777777" w:rsidR="00E1231B" w:rsidRPr="00A414E4" w:rsidRDefault="00E1231B" w:rsidP="007C5D7F">
                            <w:pPr>
                              <w:jc w:val="center"/>
                              <w:rPr>
                                <w:rFonts w:ascii="Arial" w:hAnsi="Arial" w:cs="Arial"/>
                                <w:color w:val="0D1435"/>
                                <w:sz w:val="72"/>
                              </w:rPr>
                            </w:pPr>
                            <w:r w:rsidRPr="00A414E4">
                              <w:rPr>
                                <w:rFonts w:ascii="Arial" w:hAnsi="Arial" w:cs="Arial"/>
                                <w:color w:val="0D1435"/>
                                <w:sz w:val="72"/>
                              </w:rPr>
                              <w:t>Long Term Plan</w:t>
                            </w:r>
                          </w:p>
                          <w:p w14:paraId="03CCD7C6" w14:textId="77777777" w:rsidR="00E1231B" w:rsidRPr="00923F11" w:rsidRDefault="00E1231B" w:rsidP="007C5D7F">
                            <w:pPr>
                              <w:jc w:val="center"/>
                              <w:rPr>
                                <w:color w:val="0D1435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DC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68.5pt;width:606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zYDAIAAPc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" stroked="f">
                <v:textbox style="mso-fit-shape-to-text:t">
                  <w:txbxContent>
                    <w:p w14:paraId="44B65F1F" w14:textId="72EDC6A3" w:rsidR="00E1231B" w:rsidRPr="00A414E4" w:rsidRDefault="00717A0D" w:rsidP="007C5D7F">
                      <w:pPr>
                        <w:jc w:val="center"/>
                        <w:rPr>
                          <w:rFonts w:ascii="Arial" w:hAnsi="Arial" w:cs="Arial"/>
                          <w:color w:val="0D1435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0D1435"/>
                          <w:sz w:val="72"/>
                        </w:rPr>
                        <w:t xml:space="preserve">Oasis Brightstowe </w:t>
                      </w:r>
                      <w:r w:rsidR="00983C38">
                        <w:rPr>
                          <w:rFonts w:ascii="Arial" w:hAnsi="Arial" w:cs="Arial"/>
                          <w:color w:val="0D1435"/>
                          <w:sz w:val="72"/>
                        </w:rPr>
                        <w:t>Business Studies</w:t>
                      </w:r>
                    </w:p>
                    <w:p w14:paraId="236C10CA" w14:textId="77777777" w:rsidR="00E1231B" w:rsidRPr="00A414E4" w:rsidRDefault="00E1231B" w:rsidP="007C5D7F">
                      <w:pPr>
                        <w:jc w:val="center"/>
                        <w:rPr>
                          <w:rFonts w:ascii="Arial" w:hAnsi="Arial" w:cs="Arial"/>
                          <w:color w:val="0D1435"/>
                          <w:sz w:val="72"/>
                        </w:rPr>
                      </w:pPr>
                      <w:r w:rsidRPr="00A414E4">
                        <w:rPr>
                          <w:rFonts w:ascii="Arial" w:hAnsi="Arial" w:cs="Arial"/>
                          <w:color w:val="0D1435"/>
                          <w:sz w:val="72"/>
                        </w:rPr>
                        <w:t>Long Term Plan</w:t>
                      </w:r>
                    </w:p>
                    <w:p w14:paraId="03CCD7C6" w14:textId="77777777" w:rsidR="00E1231B" w:rsidRPr="00923F11" w:rsidRDefault="00E1231B" w:rsidP="007C5D7F">
                      <w:pPr>
                        <w:jc w:val="center"/>
                        <w:rPr>
                          <w:color w:val="0D1435"/>
                          <w:sz w:val="4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414E4">
        <w:rPr>
          <w:rFonts w:cstheme="minorHAnsi"/>
        </w:rP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22237" w:type="dxa"/>
        <w:tblLook w:val="04A0" w:firstRow="1" w:lastRow="0" w:firstColumn="1" w:lastColumn="0" w:noHBand="0" w:noVBand="1"/>
      </w:tblPr>
      <w:tblGrid>
        <w:gridCol w:w="651"/>
        <w:gridCol w:w="4027"/>
        <w:gridCol w:w="3964"/>
        <w:gridCol w:w="3835"/>
        <w:gridCol w:w="3111"/>
        <w:gridCol w:w="2977"/>
        <w:gridCol w:w="3672"/>
      </w:tblGrid>
      <w:tr w:rsidR="0046411B" w:rsidRPr="00A414E4" w14:paraId="1AF373A2" w14:textId="77777777" w:rsidTr="5C42269C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18262" w14:textId="7AC235FF" w:rsidR="00A414E4" w:rsidRPr="00A414E4" w:rsidRDefault="0046411B" w:rsidP="0046411B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 xml:space="preserve">Year </w:t>
            </w:r>
            <w:r w:rsidR="00983C3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10 (2022/23)</w:t>
            </w:r>
          </w:p>
          <w:p w14:paraId="61BC7374" w14:textId="77777777" w:rsidR="00A414E4" w:rsidRPr="00A414E4" w:rsidRDefault="00A414E4" w:rsidP="0046411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B4CAB" w14:textId="512A600B" w:rsidR="008F4628" w:rsidRPr="00A1015D" w:rsidRDefault="00717A0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Overview</w:t>
            </w:r>
          </w:p>
          <w:p w14:paraId="52F93CEA" w14:textId="00C2075F" w:rsidR="00A1015D" w:rsidRPr="00A414E4" w:rsidRDefault="00223852" w:rsidP="00A1015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aims of the first year of the KS4 </w:t>
            </w:r>
            <w:r w:rsidR="0096396F">
              <w:rPr>
                <w:rFonts w:asciiTheme="minorHAnsi" w:hAnsiTheme="minorHAnsi" w:cstheme="minorHAnsi"/>
                <w:sz w:val="18"/>
                <w:szCs w:val="18"/>
              </w:rPr>
              <w:t xml:space="preserve">are to introduce students to the world of business and to foster a love for the subject through an engaging and diverse </w:t>
            </w:r>
            <w:r w:rsidR="00915592">
              <w:rPr>
                <w:rFonts w:asciiTheme="minorHAnsi" w:hAnsiTheme="minorHAnsi" w:cstheme="minorHAnsi"/>
                <w:sz w:val="18"/>
                <w:szCs w:val="18"/>
              </w:rPr>
              <w:t xml:space="preserve">series of learning modules. Students gradually build on their knowledge of core concepts </w:t>
            </w:r>
            <w:r w:rsidR="000E4A88">
              <w:rPr>
                <w:rFonts w:asciiTheme="minorHAnsi" w:hAnsiTheme="minorHAnsi" w:cstheme="minorHAnsi"/>
                <w:sz w:val="18"/>
                <w:szCs w:val="18"/>
              </w:rPr>
              <w:t xml:space="preserve">and subject specific vocabulary and apply their learning to case studies and </w:t>
            </w:r>
            <w:proofErr w:type="gramStart"/>
            <w:r w:rsidR="000E4A88">
              <w:rPr>
                <w:rFonts w:asciiTheme="minorHAnsi" w:hAnsiTheme="minorHAnsi" w:cstheme="minorHAnsi"/>
                <w:sz w:val="18"/>
                <w:szCs w:val="18"/>
              </w:rPr>
              <w:t>real world</w:t>
            </w:r>
            <w:proofErr w:type="gramEnd"/>
            <w:r w:rsidR="000E4A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357A">
              <w:rPr>
                <w:rFonts w:asciiTheme="minorHAnsi" w:hAnsiTheme="minorHAnsi" w:cstheme="minorHAnsi"/>
                <w:sz w:val="18"/>
                <w:szCs w:val="18"/>
              </w:rPr>
              <w:t>problems</w:t>
            </w:r>
            <w:r w:rsidR="000E4A88">
              <w:rPr>
                <w:rFonts w:asciiTheme="minorHAnsi" w:hAnsiTheme="minorHAnsi" w:cstheme="minorHAnsi"/>
                <w:sz w:val="18"/>
                <w:szCs w:val="18"/>
              </w:rPr>
              <w:t xml:space="preserve"> through</w:t>
            </w:r>
            <w:r w:rsidR="0062357A">
              <w:rPr>
                <w:rFonts w:asciiTheme="minorHAnsi" w:hAnsiTheme="minorHAnsi" w:cstheme="minorHAnsi"/>
                <w:sz w:val="18"/>
                <w:szCs w:val="18"/>
              </w:rPr>
              <w:t>out. Oasis Horizons use is integrated with research and presentation</w:t>
            </w:r>
            <w:r w:rsidR="00A32260">
              <w:rPr>
                <w:rFonts w:asciiTheme="minorHAnsi" w:hAnsiTheme="minorHAnsi" w:cstheme="minorHAnsi"/>
                <w:sz w:val="18"/>
                <w:szCs w:val="18"/>
              </w:rPr>
              <w:t xml:space="preserve"> being the</w:t>
            </w:r>
            <w:r w:rsidR="0062357A">
              <w:rPr>
                <w:rFonts w:asciiTheme="minorHAnsi" w:hAnsiTheme="minorHAnsi" w:cstheme="minorHAnsi"/>
                <w:sz w:val="18"/>
                <w:szCs w:val="18"/>
              </w:rPr>
              <w:t xml:space="preserve"> key skills </w:t>
            </w:r>
            <w:r w:rsidR="00A32260">
              <w:rPr>
                <w:rFonts w:asciiTheme="minorHAnsi" w:hAnsiTheme="minorHAnsi" w:cstheme="minorHAnsi"/>
                <w:sz w:val="18"/>
                <w:szCs w:val="18"/>
              </w:rPr>
              <w:t xml:space="preserve">students apply during these </w:t>
            </w:r>
            <w:r w:rsidR="00201FBE">
              <w:rPr>
                <w:rFonts w:asciiTheme="minorHAnsi" w:hAnsiTheme="minorHAnsi" w:cstheme="minorHAnsi"/>
                <w:sz w:val="18"/>
                <w:szCs w:val="18"/>
              </w:rPr>
              <w:t>learning episodes.</w:t>
            </w:r>
          </w:p>
          <w:p w14:paraId="6E8FBA85" w14:textId="6E986E45" w:rsidR="00A414E4" w:rsidRPr="00A414E4" w:rsidRDefault="00A414E4" w:rsidP="00717A0D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6DED" w:rsidRPr="00A414E4" w14:paraId="0500DD32" w14:textId="77777777" w:rsidTr="5C42269C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DC87A" w14:textId="77777777" w:rsidR="00396DED" w:rsidRPr="00A414E4" w:rsidRDefault="00396DED" w:rsidP="0046411B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112C8E" w:rsidRPr="00A414E4" w14:paraId="79C781CD" w14:textId="77777777" w:rsidTr="00DA25D0">
        <w:trPr>
          <w:trHeight w:val="313"/>
        </w:trPr>
        <w:tc>
          <w:tcPr>
            <w:tcW w:w="651" w:type="dxa"/>
            <w:tcBorders>
              <w:top w:val="single" w:sz="4" w:space="0" w:color="auto"/>
            </w:tcBorders>
          </w:tcPr>
          <w:p w14:paraId="08A7D650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29D560FA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79F62D36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4315B03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247D7F99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94CDA5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50A23491" w14:textId="77777777" w:rsidR="008E05E5" w:rsidRPr="00A414E4" w:rsidRDefault="008E05E5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2</w:t>
            </w:r>
          </w:p>
        </w:tc>
      </w:tr>
      <w:tr w:rsidR="00112C8E" w:rsidRPr="00A414E4" w14:paraId="1DF00A94" w14:textId="77777777" w:rsidTr="00DA25D0">
        <w:trPr>
          <w:trHeight w:val="4202"/>
        </w:trPr>
        <w:tc>
          <w:tcPr>
            <w:tcW w:w="651" w:type="dxa"/>
            <w:vAlign w:val="center"/>
          </w:tcPr>
          <w:p w14:paraId="75CBA196" w14:textId="51E86C90" w:rsidR="008E05E5" w:rsidRPr="00A414E4" w:rsidRDefault="00DA25D0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027" w:type="dxa"/>
          </w:tcPr>
          <w:p w14:paraId="2B024F24" w14:textId="47EAA039" w:rsidR="00FD5FFE" w:rsidRPr="00F70A94" w:rsidRDefault="008E05E5" w:rsidP="00717A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Topic: </w:t>
            </w:r>
            <w:r w:rsidR="00983C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983C38" w:rsidRPr="00983C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ntrepreneurship, business organisation and stakeholders</w:t>
            </w:r>
          </w:p>
          <w:p w14:paraId="12A2D3E0" w14:textId="77777777" w:rsidR="00FD5FFE" w:rsidRPr="00F70A94" w:rsidRDefault="00FD5FFE" w:rsidP="5E468B9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B8E8663" w14:textId="77777777" w:rsidR="00983C38" w:rsidRPr="00983C38" w:rsidRDefault="00983C3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3C38">
              <w:rPr>
                <w:b/>
                <w:bCs/>
                <w:sz w:val="18"/>
                <w:szCs w:val="18"/>
              </w:rPr>
              <w:t>Entrepreneurship</w:t>
            </w:r>
          </w:p>
          <w:p w14:paraId="3B9C3DDB" w14:textId="2E1678C5" w:rsidR="00983C38" w:rsidRPr="00983C38" w:rsidRDefault="00983C38" w:rsidP="00983C38">
            <w:pPr>
              <w:pStyle w:val="NoSpacing"/>
              <w:ind w:left="360"/>
              <w:rPr>
                <w:sz w:val="18"/>
                <w:szCs w:val="18"/>
              </w:rPr>
            </w:pPr>
            <w:r w:rsidRPr="00983C38">
              <w:rPr>
                <w:sz w:val="18"/>
                <w:szCs w:val="18"/>
              </w:rPr>
              <w:t xml:space="preserve">Being an entrepreneur, Entrepreneurial motivators, Entrepreneurial </w:t>
            </w:r>
            <w:proofErr w:type="gramStart"/>
            <w:r w:rsidRPr="00983C38">
              <w:rPr>
                <w:sz w:val="18"/>
                <w:szCs w:val="18"/>
              </w:rPr>
              <w:t>skills</w:t>
            </w:r>
            <w:proofErr w:type="gramEnd"/>
            <w:r w:rsidRPr="00983C38">
              <w:rPr>
                <w:sz w:val="18"/>
                <w:szCs w:val="18"/>
              </w:rPr>
              <w:t xml:space="preserve"> and attributes </w:t>
            </w:r>
          </w:p>
          <w:p w14:paraId="2B2797F8" w14:textId="64153C2C" w:rsidR="00983C38" w:rsidRPr="00983C38" w:rsidRDefault="00983C3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3C38">
              <w:rPr>
                <w:b/>
                <w:bCs/>
                <w:sz w:val="18"/>
                <w:szCs w:val="18"/>
              </w:rPr>
              <w:t xml:space="preserve">Business and enterprise </w:t>
            </w:r>
            <w:proofErr w:type="gramStart"/>
            <w:r w:rsidRPr="00983C38">
              <w:rPr>
                <w:b/>
                <w:bCs/>
                <w:sz w:val="18"/>
                <w:szCs w:val="18"/>
              </w:rPr>
              <w:t>aims</w:t>
            </w:r>
            <w:proofErr w:type="gramEnd"/>
            <w:r w:rsidRPr="00983C38">
              <w:rPr>
                <w:b/>
                <w:bCs/>
                <w:sz w:val="18"/>
                <w:szCs w:val="18"/>
              </w:rPr>
              <w:t xml:space="preserve"> and objectives</w:t>
            </w:r>
            <w:r w:rsidRPr="00983C38">
              <w:rPr>
                <w:sz w:val="18"/>
                <w:szCs w:val="18"/>
              </w:rPr>
              <w:t xml:space="preserve"> Reasons for aims and objectives, Financial aims and objectives, Non-financial aims and objectives </w:t>
            </w:r>
          </w:p>
          <w:p w14:paraId="1228F111" w14:textId="77777777" w:rsidR="00983C38" w:rsidRPr="00983C38" w:rsidRDefault="00983C3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3C38">
              <w:rPr>
                <w:b/>
                <w:bCs/>
                <w:sz w:val="18"/>
                <w:szCs w:val="18"/>
              </w:rPr>
              <w:t>Structures</w:t>
            </w:r>
          </w:p>
          <w:p w14:paraId="2E304A91" w14:textId="122FE57E" w:rsidR="00983C38" w:rsidRPr="00983C38" w:rsidRDefault="00983C38" w:rsidP="00983C38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C38">
              <w:rPr>
                <w:sz w:val="18"/>
                <w:szCs w:val="18"/>
              </w:rPr>
              <w:t xml:space="preserve">Legal structures, The impact on business and enterprise of different structural characteristics, The impact on business and enterprise of changes in structure. </w:t>
            </w:r>
          </w:p>
          <w:p w14:paraId="553733F4" w14:textId="77777777" w:rsidR="00983C38" w:rsidRPr="00983C38" w:rsidRDefault="00983C3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3C38">
              <w:rPr>
                <w:b/>
                <w:bCs/>
                <w:sz w:val="18"/>
                <w:szCs w:val="18"/>
              </w:rPr>
              <w:t>Stakeholders</w:t>
            </w:r>
          </w:p>
          <w:p w14:paraId="3D322881" w14:textId="5F32B59B" w:rsidR="008E05E5" w:rsidRPr="00F70A94" w:rsidRDefault="00983C38" w:rsidP="00983C38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83C38">
              <w:rPr>
                <w:sz w:val="18"/>
                <w:szCs w:val="18"/>
              </w:rPr>
              <w:t>Internal stakeholders, External stakeholders, Stakeholder engagement, Stakeholder conflict</w:t>
            </w:r>
          </w:p>
        </w:tc>
        <w:tc>
          <w:tcPr>
            <w:tcW w:w="3964" w:type="dxa"/>
          </w:tcPr>
          <w:p w14:paraId="29AF9C64" w14:textId="497D861F" w:rsidR="00FD5FFE" w:rsidRPr="00F70A94" w:rsidRDefault="008E05E5" w:rsidP="00717A0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 w:rsidR="00DA25D0" w:rsidRPr="00DA25D0">
              <w:rPr>
                <w:rFonts w:asciiTheme="minorHAnsi" w:hAnsiTheme="minorHAnsi" w:cstheme="minorHAnsi"/>
                <w:b/>
                <w:sz w:val="18"/>
                <w:szCs w:val="18"/>
              </w:rPr>
              <w:t>Market research, market types and orientation and marketing mix</w:t>
            </w:r>
          </w:p>
          <w:p w14:paraId="7D357E50" w14:textId="50319602" w:rsidR="00DA25D0" w:rsidRPr="00F70A94" w:rsidRDefault="00DA25D0" w:rsidP="00717435">
            <w:pPr>
              <w:pStyle w:val="NoSpacing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ECCABC" w14:textId="63A4B27B" w:rsidR="00DA25D0" w:rsidRPr="00DA25D0" w:rsidRDefault="00DA25D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 xml:space="preserve">The 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DA25D0">
              <w:rPr>
                <w:b/>
                <w:bCs/>
                <w:sz w:val="18"/>
                <w:szCs w:val="18"/>
              </w:rPr>
              <w:t xml:space="preserve">arket </w:t>
            </w:r>
          </w:p>
          <w:p w14:paraId="2ACF3A0C" w14:textId="75C6C126" w:rsidR="00DA25D0" w:rsidRPr="00DA25D0" w:rsidRDefault="00DA25D0" w:rsidP="00DA25D0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Aspects of the market </w:t>
            </w:r>
          </w:p>
          <w:p w14:paraId="4ED5BB08" w14:textId="77777777" w:rsidR="00DA25D0" w:rsidRPr="00DA25D0" w:rsidRDefault="00DA25D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 xml:space="preserve">Market research </w:t>
            </w:r>
          </w:p>
          <w:p w14:paraId="42F53CEE" w14:textId="778BD5D8" w:rsidR="00DA25D0" w:rsidRPr="00DA25D0" w:rsidRDefault="00DA25D0" w:rsidP="00DA25D0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Primary market research, Secondary market research, Data types, Market types, Business orientation types </w:t>
            </w:r>
          </w:p>
          <w:p w14:paraId="494CBCFF" w14:textId="77777777" w:rsidR="00DA25D0" w:rsidRPr="00DA25D0" w:rsidRDefault="00DA25D0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 xml:space="preserve">Marketing mix </w:t>
            </w:r>
          </w:p>
          <w:p w14:paraId="7376DB94" w14:textId="40AAEAEB" w:rsidR="008E05E5" w:rsidRPr="00F70A94" w:rsidRDefault="00DA25D0" w:rsidP="00DA25D0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Price, Place, Promotion, Product, Product life cycle and product life cycle extension </w:t>
            </w:r>
            <w:proofErr w:type="gramStart"/>
            <w:r w:rsidRPr="00DA25D0">
              <w:rPr>
                <w:sz w:val="18"/>
                <w:szCs w:val="18"/>
              </w:rPr>
              <w:t>strategies,  Product</w:t>
            </w:r>
            <w:proofErr w:type="gramEnd"/>
            <w:r w:rsidRPr="00DA25D0">
              <w:rPr>
                <w:sz w:val="18"/>
                <w:szCs w:val="18"/>
              </w:rPr>
              <w:t xml:space="preserve"> development and innovation, Boston Matrix, Branding</w:t>
            </w:r>
          </w:p>
        </w:tc>
        <w:tc>
          <w:tcPr>
            <w:tcW w:w="3835" w:type="dxa"/>
          </w:tcPr>
          <w:p w14:paraId="7BCDD1AA" w14:textId="5C30CAEF" w:rsidR="00FD5FFE" w:rsidRPr="00F70A94" w:rsidRDefault="008E05E5" w:rsidP="00717A0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 w:rsidR="00DA25D0">
              <w:t xml:space="preserve"> </w:t>
            </w:r>
            <w:r w:rsidR="00DA25D0" w:rsidRPr="00DA25D0">
              <w:rPr>
                <w:rFonts w:asciiTheme="minorHAnsi" w:hAnsiTheme="minorHAnsi" w:cstheme="minorHAnsi"/>
                <w:b/>
                <w:sz w:val="18"/>
                <w:szCs w:val="18"/>
              </w:rPr>
              <w:t>Human resource requirements for business and enterprise</w:t>
            </w:r>
          </w:p>
          <w:p w14:paraId="21F173C6" w14:textId="77777777" w:rsidR="00FD5FFE" w:rsidRPr="00F70A94" w:rsidRDefault="00FD5FFE" w:rsidP="008E05E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020EAC" w14:textId="77777777" w:rsidR="00DA25D0" w:rsidRPr="00DA25D0" w:rsidRDefault="00DA25D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>Human resources</w:t>
            </w:r>
          </w:p>
          <w:p w14:paraId="405562E9" w14:textId="14A5528F" w:rsidR="00DA25D0" w:rsidRPr="00DA25D0" w:rsidRDefault="00DA25D0" w:rsidP="00DA25D0">
            <w:pPr>
              <w:pStyle w:val="NoSpacing"/>
              <w:ind w:left="360"/>
              <w:rPr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Methods of recruitment, Stages of recruitment, Types of employment contracts </w:t>
            </w:r>
          </w:p>
          <w:p w14:paraId="37FC893B" w14:textId="77777777" w:rsidR="00DA25D0" w:rsidRPr="00DA25D0" w:rsidRDefault="00DA25D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>Staff development and monitoring</w:t>
            </w:r>
          </w:p>
          <w:p w14:paraId="2E600958" w14:textId="6E29760C" w:rsidR="00DA25D0" w:rsidRPr="00DA25D0" w:rsidRDefault="00DA25D0" w:rsidP="00DA25D0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Methods of staff development and monitoring </w:t>
            </w:r>
          </w:p>
          <w:p w14:paraId="3884CFED" w14:textId="77777777" w:rsidR="00DA25D0" w:rsidRPr="00DA25D0" w:rsidRDefault="00DA25D0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25D0">
              <w:rPr>
                <w:b/>
                <w:bCs/>
                <w:sz w:val="18"/>
                <w:szCs w:val="18"/>
              </w:rPr>
              <w:t>Motivation</w:t>
            </w:r>
          </w:p>
          <w:p w14:paraId="2DB303F9" w14:textId="7FE58042" w:rsidR="008E05E5" w:rsidRPr="00F70A94" w:rsidRDefault="00DA25D0" w:rsidP="00DA25D0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A25D0">
              <w:rPr>
                <w:sz w:val="18"/>
                <w:szCs w:val="18"/>
              </w:rPr>
              <w:t xml:space="preserve">Financial methods of motivation, </w:t>
            </w:r>
            <w:proofErr w:type="gramStart"/>
            <w:r w:rsidRPr="00DA25D0">
              <w:rPr>
                <w:sz w:val="18"/>
                <w:szCs w:val="18"/>
              </w:rPr>
              <w:t>Non-financial</w:t>
            </w:r>
            <w:proofErr w:type="gramEnd"/>
            <w:r w:rsidRPr="00DA25D0">
              <w:rPr>
                <w:sz w:val="18"/>
                <w:szCs w:val="18"/>
              </w:rPr>
              <w:t xml:space="preserve"> methods of motivation, Motivation theories</w:t>
            </w:r>
          </w:p>
        </w:tc>
        <w:tc>
          <w:tcPr>
            <w:tcW w:w="3111" w:type="dxa"/>
          </w:tcPr>
          <w:p w14:paraId="32697F4A" w14:textId="341112F8" w:rsidR="00FD5FFE" w:rsidRPr="00281918" w:rsidRDefault="008E05E5" w:rsidP="00717A0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 w:rsidR="00717435"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>Operations management</w:t>
            </w:r>
          </w:p>
          <w:p w14:paraId="1444FB99" w14:textId="77777777" w:rsidR="00FD5FFE" w:rsidRPr="00281918" w:rsidRDefault="00FD5FFE" w:rsidP="00FD5FF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D6899C" w14:textId="77777777" w:rsidR="000A5589" w:rsidRPr="00281918" w:rsidRDefault="000A558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281918">
              <w:rPr>
                <w:b/>
                <w:bCs/>
                <w:sz w:val="18"/>
                <w:szCs w:val="18"/>
              </w:rPr>
              <w:t xml:space="preserve">Operations management </w:t>
            </w:r>
          </w:p>
          <w:p w14:paraId="429B655F" w14:textId="289ACB1D" w:rsidR="008E05E5" w:rsidRPr="00281918" w:rsidRDefault="000A5589" w:rsidP="000A5589">
            <w:pPr>
              <w:pStyle w:val="NoSpacing"/>
              <w:ind w:left="360"/>
              <w:rPr>
                <w:rFonts w:asciiTheme="minorHAnsi" w:hAnsiTheme="minorHAnsi" w:cstheme="minorBidi"/>
                <w:sz w:val="18"/>
                <w:szCs w:val="18"/>
              </w:rPr>
            </w:pPr>
            <w:r w:rsidRPr="00281918">
              <w:rPr>
                <w:sz w:val="18"/>
                <w:szCs w:val="18"/>
              </w:rPr>
              <w:t>Outsourcing, Lean production, Maintaining and improving quality, Production methods, Customer service</w:t>
            </w:r>
          </w:p>
        </w:tc>
        <w:tc>
          <w:tcPr>
            <w:tcW w:w="2977" w:type="dxa"/>
          </w:tcPr>
          <w:p w14:paraId="4AE11988" w14:textId="596E4540" w:rsidR="00FD5FFE" w:rsidRPr="00281918" w:rsidRDefault="008E05E5" w:rsidP="000C134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>Topic:</w:t>
            </w:r>
            <w:r w:rsidR="0066193A"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Business growth</w:t>
            </w:r>
            <w:r w:rsidR="0066193A"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cr/>
            </w:r>
          </w:p>
          <w:p w14:paraId="15CB5C0F" w14:textId="77777777" w:rsidR="0067348E" w:rsidRPr="00281918" w:rsidRDefault="0067348E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81918">
              <w:rPr>
                <w:b/>
                <w:bCs/>
                <w:sz w:val="18"/>
                <w:szCs w:val="18"/>
              </w:rPr>
              <w:t>Business and enterprise</w:t>
            </w:r>
            <w:r w:rsidRPr="00281918">
              <w:rPr>
                <w:sz w:val="18"/>
                <w:szCs w:val="18"/>
              </w:rPr>
              <w:t xml:space="preserve"> </w:t>
            </w:r>
            <w:r w:rsidRPr="00281918">
              <w:rPr>
                <w:b/>
                <w:bCs/>
                <w:sz w:val="18"/>
                <w:szCs w:val="18"/>
              </w:rPr>
              <w:t>growth</w:t>
            </w:r>
          </w:p>
          <w:p w14:paraId="36F68D05" w14:textId="4DA6AFEA" w:rsidR="787364B3" w:rsidRPr="00281918" w:rsidRDefault="0067348E" w:rsidP="0067348E">
            <w:pPr>
              <w:pStyle w:val="NoSpacing"/>
              <w:ind w:left="720"/>
              <w:rPr>
                <w:sz w:val="18"/>
                <w:szCs w:val="18"/>
              </w:rPr>
            </w:pPr>
            <w:r w:rsidRPr="00281918">
              <w:rPr>
                <w:sz w:val="18"/>
                <w:szCs w:val="18"/>
              </w:rPr>
              <w:t>Internal growth, External growth, Efficiencies and costs of business and enterprise expansion, Challenges of growth.</w:t>
            </w:r>
          </w:p>
          <w:p w14:paraId="69DAF0EA" w14:textId="77777777" w:rsidR="008E05E5" w:rsidRPr="00281918" w:rsidRDefault="008E05E5" w:rsidP="008E05E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5937EC" w14:textId="77777777" w:rsidR="008E05E5" w:rsidRPr="00281918" w:rsidRDefault="008E05E5" w:rsidP="008E05E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C68D897" w14:textId="0B51A8EF" w:rsidR="00FD5FFE" w:rsidRDefault="008E05E5" w:rsidP="00E1350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>Topic:</w:t>
            </w:r>
            <w:r w:rsid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1918"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Sources of enterprise funding and business finance</w:t>
            </w:r>
          </w:p>
          <w:p w14:paraId="35132506" w14:textId="77777777" w:rsidR="00E13506" w:rsidRPr="00E13506" w:rsidRDefault="00E13506" w:rsidP="00E1350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B5F7B8" w14:textId="77777777" w:rsidR="00E13506" w:rsidRPr="00E13506" w:rsidRDefault="00E1350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506">
              <w:rPr>
                <w:b/>
                <w:bCs/>
              </w:rPr>
              <w:t xml:space="preserve">Business and enterprise funding </w:t>
            </w:r>
          </w:p>
          <w:p w14:paraId="33A21EBD" w14:textId="77777777" w:rsidR="007163E7" w:rsidRDefault="00E13506" w:rsidP="00E13506">
            <w:pPr>
              <w:pStyle w:val="NoSpacing"/>
              <w:ind w:left="360"/>
            </w:pPr>
            <w:r>
              <w:t xml:space="preserve">Funding types, </w:t>
            </w:r>
            <w:proofErr w:type="gramStart"/>
            <w:r>
              <w:t>Financial</w:t>
            </w:r>
            <w:proofErr w:type="gramEnd"/>
            <w:r>
              <w:t xml:space="preserve"> terms, documents and tools, </w:t>
            </w:r>
          </w:p>
          <w:p w14:paraId="602C48C1" w14:textId="0F6496C9" w:rsidR="008E05E5" w:rsidRPr="00F70A94" w:rsidRDefault="00E1350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63E7">
              <w:rPr>
                <w:b/>
                <w:bCs/>
              </w:rPr>
              <w:t>Financial terms and calculations</w:t>
            </w:r>
            <w:r w:rsidR="007163E7">
              <w:t xml:space="preserve"> </w:t>
            </w:r>
            <w:r>
              <w:t xml:space="preserve">Costs, liabilities and assets, </w:t>
            </w:r>
            <w:proofErr w:type="gramStart"/>
            <w:r>
              <w:t>Financial</w:t>
            </w:r>
            <w:proofErr w:type="gramEnd"/>
            <w:r>
              <w:t xml:space="preserve"> documents, Ratio analysis, Cash flow management</w:t>
            </w:r>
          </w:p>
        </w:tc>
      </w:tr>
    </w:tbl>
    <w:p w14:paraId="1CD289EA" w14:textId="77777777" w:rsidR="00317069" w:rsidRPr="00A414E4" w:rsidRDefault="00317069">
      <w:pPr>
        <w:rPr>
          <w:rFonts w:cstheme="minorHAnsi"/>
          <w:i/>
          <w:sz w:val="18"/>
          <w:szCs w:val="18"/>
        </w:rPr>
      </w:pPr>
    </w:p>
    <w:p w14:paraId="540187AF" w14:textId="77777777" w:rsidR="00E759CC" w:rsidRDefault="00E759CC">
      <w:pPr>
        <w:rPr>
          <w:rFonts w:cstheme="minorHAnsi"/>
          <w:i/>
          <w:sz w:val="18"/>
          <w:szCs w:val="18"/>
        </w:rPr>
      </w:pPr>
    </w:p>
    <w:p w14:paraId="178BBF88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09D58B8B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08511200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2102E5B6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525D2AB9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4AFEF9EA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0040AF08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05EF0345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36671F7E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227BDEE9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3934DA2E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7204E4A5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4FB3516E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386FFCF6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5B0E1F0A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21390972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48FE16EC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74882ED2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6CEB611C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27D92D83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2C79CD17" w14:textId="77777777" w:rsidR="00AC1D60" w:rsidRDefault="00AC1D60">
      <w:pPr>
        <w:rPr>
          <w:rFonts w:cstheme="minorHAnsi"/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441"/>
        <w:tblW w:w="22237" w:type="dxa"/>
        <w:tblLook w:val="04A0" w:firstRow="1" w:lastRow="0" w:firstColumn="1" w:lastColumn="0" w:noHBand="0" w:noVBand="1"/>
      </w:tblPr>
      <w:tblGrid>
        <w:gridCol w:w="651"/>
        <w:gridCol w:w="4027"/>
        <w:gridCol w:w="3964"/>
        <w:gridCol w:w="3835"/>
        <w:gridCol w:w="3111"/>
        <w:gridCol w:w="3265"/>
        <w:gridCol w:w="3384"/>
      </w:tblGrid>
      <w:tr w:rsidR="00AC1D60" w:rsidRPr="00A414E4" w14:paraId="29B0A6A7" w14:textId="77777777" w:rsidTr="003664EE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4C7A6" w14:textId="5D663A6C" w:rsidR="00AC1D60" w:rsidRPr="00A414E4" w:rsidRDefault="00AC1D60" w:rsidP="003664E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11 (2023</w:t>
            </w:r>
            <w:r w:rsidR="003A3AD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/24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)</w:t>
            </w:r>
          </w:p>
          <w:p w14:paraId="634BF0E9" w14:textId="77777777" w:rsidR="00AC1D60" w:rsidRPr="00A414E4" w:rsidRDefault="00AC1D60" w:rsidP="003664E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61107" w14:textId="77777777" w:rsidR="00AC1D60" w:rsidRPr="00201FBE" w:rsidRDefault="00AC1D60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Overview</w:t>
            </w:r>
          </w:p>
          <w:p w14:paraId="04C14489" w14:textId="57623858" w:rsidR="00201FBE" w:rsidRPr="00D52328" w:rsidRDefault="00D52328" w:rsidP="00201FB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52328">
              <w:rPr>
                <w:rFonts w:asciiTheme="minorHAnsi" w:hAnsiTheme="minorHAnsi" w:cstheme="minorHAnsi"/>
                <w:bCs/>
                <w:sz w:val="18"/>
                <w:szCs w:val="18"/>
              </w:rPr>
              <w:t>The second year of 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0195">
              <w:rPr>
                <w:rFonts w:asciiTheme="minorHAnsi" w:hAnsiTheme="minorHAnsi" w:cstheme="minorHAnsi"/>
                <w:sz w:val="18"/>
                <w:szCs w:val="18"/>
              </w:rPr>
              <w:t xml:space="preserve">looks at the impact of the wider </w:t>
            </w:r>
            <w:r w:rsidR="00C87867">
              <w:rPr>
                <w:rFonts w:asciiTheme="minorHAnsi" w:hAnsiTheme="minorHAnsi" w:cstheme="minorHAnsi"/>
                <w:sz w:val="18"/>
                <w:szCs w:val="18"/>
              </w:rPr>
              <w:t xml:space="preserve">world on business and how businesses can plan effectively. These units, combined </w:t>
            </w:r>
            <w:r w:rsidR="00E76C66">
              <w:rPr>
                <w:rFonts w:asciiTheme="minorHAnsi" w:hAnsiTheme="minorHAnsi" w:cstheme="minorHAnsi"/>
                <w:sz w:val="18"/>
                <w:szCs w:val="18"/>
              </w:rPr>
              <w:t xml:space="preserve">with the units studied in </w:t>
            </w:r>
            <w:r w:rsidR="001A570A">
              <w:rPr>
                <w:rFonts w:asciiTheme="minorHAnsi" w:hAnsiTheme="minorHAnsi" w:cstheme="minorHAnsi"/>
                <w:sz w:val="18"/>
                <w:szCs w:val="18"/>
              </w:rPr>
              <w:t xml:space="preserve">Year 10 are then applied in the synoptic project which forms 40% of the course qualification. This is an opportunity for students to demonstrate their </w:t>
            </w:r>
            <w:r w:rsidR="008B5F32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the business principles they have learnt and to apply them to a business by writing and presenting a </w:t>
            </w:r>
            <w:r w:rsidR="00EA3390">
              <w:rPr>
                <w:rFonts w:asciiTheme="minorHAnsi" w:hAnsiTheme="minorHAnsi" w:cstheme="minorHAnsi"/>
                <w:sz w:val="18"/>
                <w:szCs w:val="18"/>
              </w:rPr>
              <w:t xml:space="preserve">business plan. </w:t>
            </w:r>
            <w:r w:rsidRPr="00D523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A83972" w14:textId="77777777" w:rsidR="00AC1D60" w:rsidRPr="00A414E4" w:rsidRDefault="00AC1D60" w:rsidP="003664EE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1D60" w:rsidRPr="00A414E4" w14:paraId="1515BD6A" w14:textId="77777777" w:rsidTr="003664EE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1F25" w14:textId="77777777" w:rsidR="00AC1D60" w:rsidRPr="00A414E4" w:rsidRDefault="00AC1D60" w:rsidP="003664E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AC1D60" w:rsidRPr="00A414E4" w14:paraId="511329B1" w14:textId="77777777" w:rsidTr="004F317C">
        <w:trPr>
          <w:trHeight w:val="313"/>
        </w:trPr>
        <w:tc>
          <w:tcPr>
            <w:tcW w:w="651" w:type="dxa"/>
            <w:tcBorders>
              <w:top w:val="single" w:sz="4" w:space="0" w:color="auto"/>
            </w:tcBorders>
          </w:tcPr>
          <w:p w14:paraId="7E103F6E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505E5A71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4EC08814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4B3137BD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A342AA6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7E54E5BD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14:paraId="19FE6FC9" w14:textId="77777777" w:rsidR="00AC1D60" w:rsidRPr="00A414E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2</w:t>
            </w:r>
          </w:p>
        </w:tc>
      </w:tr>
      <w:tr w:rsidR="00AC1D60" w:rsidRPr="00A414E4" w14:paraId="59C675C9" w14:textId="77777777" w:rsidTr="004F317C">
        <w:trPr>
          <w:trHeight w:val="4202"/>
        </w:trPr>
        <w:tc>
          <w:tcPr>
            <w:tcW w:w="651" w:type="dxa"/>
            <w:vAlign w:val="center"/>
          </w:tcPr>
          <w:p w14:paraId="67334390" w14:textId="169225B9" w:rsidR="00AC1D60" w:rsidRPr="00A414E4" w:rsidRDefault="00337DBB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027" w:type="dxa"/>
          </w:tcPr>
          <w:p w14:paraId="34B3EA78" w14:textId="4B8D9777" w:rsidR="00AC1D60" w:rsidRPr="00F70A9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Topic: </w:t>
            </w:r>
            <w:r w:rsidR="001C2958" w:rsidRPr="001C29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The impact of the external environment on business and enterprise</w:t>
            </w:r>
            <w:r w:rsidR="00F428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Business Planning</w:t>
            </w:r>
          </w:p>
          <w:p w14:paraId="7536BA6F" w14:textId="77777777" w:rsidR="00AC1D60" w:rsidRPr="00F70A9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073220" w14:textId="77777777" w:rsidR="00A21C42" w:rsidRPr="00BF48A3" w:rsidRDefault="00A21C4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48A3">
              <w:rPr>
                <w:b/>
                <w:bCs/>
                <w:sz w:val="18"/>
                <w:szCs w:val="18"/>
              </w:rPr>
              <w:t>The impact of the external environment</w:t>
            </w:r>
          </w:p>
          <w:p w14:paraId="616A7DB2" w14:textId="77777777" w:rsidR="00AC1D60" w:rsidRPr="00BF48A3" w:rsidRDefault="00A21C42" w:rsidP="00A21C42">
            <w:pPr>
              <w:pStyle w:val="NoSpacing"/>
              <w:ind w:left="720"/>
              <w:rPr>
                <w:sz w:val="18"/>
                <w:szCs w:val="18"/>
              </w:rPr>
            </w:pPr>
            <w:r w:rsidRPr="00BF48A3">
              <w:rPr>
                <w:sz w:val="18"/>
                <w:szCs w:val="18"/>
              </w:rPr>
              <w:t>External influences</w:t>
            </w:r>
          </w:p>
          <w:p w14:paraId="321EF42E" w14:textId="6F7BCE01" w:rsidR="00F428C0" w:rsidRPr="00F70A94" w:rsidRDefault="0077005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F48A3">
              <w:rPr>
                <w:b/>
                <w:bCs/>
                <w:sz w:val="18"/>
                <w:szCs w:val="18"/>
              </w:rPr>
              <w:t xml:space="preserve">Business and enterprise planning </w:t>
            </w:r>
            <w:r w:rsidRPr="00BF48A3">
              <w:rPr>
                <w:sz w:val="18"/>
                <w:szCs w:val="18"/>
              </w:rPr>
              <w:t>Purposes and benefits of planning, Sections of a business plan</w:t>
            </w:r>
          </w:p>
        </w:tc>
        <w:tc>
          <w:tcPr>
            <w:tcW w:w="3964" w:type="dxa"/>
          </w:tcPr>
          <w:p w14:paraId="688A45A0" w14:textId="066A9CAC" w:rsidR="00AC1D60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 w:rsidR="0077005E">
              <w:rPr>
                <w:rFonts w:asciiTheme="minorHAnsi" w:hAnsiTheme="minorHAnsi" w:cstheme="minorHAnsi"/>
                <w:b/>
                <w:sz w:val="18"/>
                <w:szCs w:val="18"/>
              </w:rPr>
              <w:t>Synoptic Project Preparation</w:t>
            </w:r>
          </w:p>
          <w:p w14:paraId="4FDCED3B" w14:textId="77777777" w:rsidR="0077005E" w:rsidRDefault="0077005E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5D34B9" w14:textId="3CF99374" w:rsidR="0077005E" w:rsidRDefault="0077005E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Planning for the synoptic project</w:t>
            </w:r>
          </w:p>
          <w:p w14:paraId="3E2982DA" w14:textId="557070C0" w:rsidR="0077005E" w:rsidRDefault="00BF48A3" w:rsidP="0077005E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F48A3">
              <w:rPr>
                <w:rFonts w:asciiTheme="minorHAnsi" w:hAnsiTheme="minorHAnsi" w:cstheme="minorHAnsi"/>
                <w:sz w:val="18"/>
                <w:szCs w:val="18"/>
              </w:rPr>
              <w:t xml:space="preserve">Sections to include,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Example models,</w:t>
            </w:r>
          </w:p>
          <w:p w14:paraId="524F3D6F" w14:textId="0BD50783" w:rsidR="00BF48A3" w:rsidRPr="00BF48A3" w:rsidRDefault="00533E1D" w:rsidP="0077005E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‘Mock’ synoptic project.</w:t>
            </w:r>
          </w:p>
          <w:p w14:paraId="1B9DFED1" w14:textId="77777777" w:rsidR="00AC1D60" w:rsidRPr="00F70A94" w:rsidRDefault="00AC1D60" w:rsidP="003664EE">
            <w:pPr>
              <w:pStyle w:val="NoSpacing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9109A7" w14:textId="2A7DC64D" w:rsidR="00AC1D60" w:rsidRPr="00F70A94" w:rsidRDefault="00AC1D60" w:rsidP="00E10495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</w:tcPr>
          <w:p w14:paraId="0A2C3924" w14:textId="5C0C8F18" w:rsidR="00AC1D60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t xml:space="preserve"> </w:t>
            </w:r>
            <w:r w:rsidR="00500FD4">
              <w:rPr>
                <w:rFonts w:asciiTheme="minorHAnsi" w:hAnsiTheme="minorHAnsi" w:cstheme="minorHAnsi"/>
                <w:b/>
                <w:sz w:val="18"/>
                <w:szCs w:val="18"/>
              </w:rPr>
              <w:t>Synoptic Project</w:t>
            </w:r>
          </w:p>
          <w:p w14:paraId="1F70D9DD" w14:textId="77777777" w:rsidR="00500FD4" w:rsidRDefault="00500FD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1D1315" w14:textId="03F1DEFB" w:rsidR="00500FD4" w:rsidRDefault="0072143B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Externally set synoptic project.</w:t>
            </w:r>
          </w:p>
          <w:p w14:paraId="3D7FA112" w14:textId="67EF0352" w:rsidR="0072143B" w:rsidRDefault="0072143B" w:rsidP="0072143B">
            <w:pPr>
              <w:pStyle w:val="NoSpacing"/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 hrs </w:t>
            </w:r>
          </w:p>
          <w:p w14:paraId="6579C41C" w14:textId="07D0CA57" w:rsidR="0024356C" w:rsidRPr="0024356C" w:rsidRDefault="0024356C" w:rsidP="0072143B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Observation </w:t>
            </w:r>
            <w:r w:rsidRPr="004F317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teaching</w:t>
            </w:r>
          </w:p>
          <w:p w14:paraId="5D98DC03" w14:textId="77777777" w:rsidR="00AC1D60" w:rsidRPr="00F70A94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2D58ED" w14:textId="5AAC4242" w:rsidR="00AC1D60" w:rsidRPr="00F70A94" w:rsidRDefault="00AC1D60" w:rsidP="00E104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</w:tcPr>
          <w:p w14:paraId="4AB93A36" w14:textId="303126E8" w:rsidR="00AC1D60" w:rsidRPr="00281918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 w:rsidR="004F317C">
              <w:rPr>
                <w:rFonts w:asciiTheme="minorHAnsi" w:hAnsiTheme="minorHAnsi" w:cstheme="minorHAnsi"/>
                <w:b/>
                <w:sz w:val="18"/>
                <w:szCs w:val="18"/>
              </w:rPr>
              <w:t>Exam revision and preparation</w:t>
            </w:r>
          </w:p>
          <w:p w14:paraId="3EFB19B6" w14:textId="77777777" w:rsidR="00AC1D60" w:rsidRPr="00281918" w:rsidRDefault="00AC1D60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08D03E" w14:textId="77777777" w:rsidR="00AC1D60" w:rsidRPr="00AF374A" w:rsidRDefault="00AB0306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Entrepreneurship, business organisation and stakeholders</w:t>
            </w:r>
          </w:p>
          <w:p w14:paraId="3C49278F" w14:textId="77777777" w:rsidR="00E27C12" w:rsidRPr="00AF374A" w:rsidRDefault="00E27C1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Market research, market types and orientation and marketing mix</w:t>
            </w:r>
          </w:p>
          <w:p w14:paraId="19864FB5" w14:textId="77777777" w:rsidR="00E27C12" w:rsidRPr="00AF374A" w:rsidRDefault="00E27C1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Human resource requirements for business and enterprise</w:t>
            </w:r>
          </w:p>
          <w:p w14:paraId="709A4F38" w14:textId="77777777" w:rsidR="00E27C12" w:rsidRPr="00AF374A" w:rsidRDefault="008745F9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Operations management</w:t>
            </w:r>
          </w:p>
          <w:p w14:paraId="28D6580F" w14:textId="77777777" w:rsidR="008745F9" w:rsidRPr="00AF374A" w:rsidRDefault="008745F9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growth</w:t>
            </w:r>
          </w:p>
          <w:p w14:paraId="204038F9" w14:textId="77777777" w:rsidR="008745F9" w:rsidRPr="00AF374A" w:rsidRDefault="008745F9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Sources of enterprise funding and business finance</w:t>
            </w:r>
          </w:p>
          <w:p w14:paraId="2FB60E97" w14:textId="77777777" w:rsidR="008745F9" w:rsidRPr="00AF374A" w:rsidRDefault="00AF374A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The impact of the external environment on business and enterprise</w:t>
            </w:r>
          </w:p>
          <w:p w14:paraId="2E983457" w14:textId="77777777" w:rsidR="00AF374A" w:rsidRPr="00AF374A" w:rsidRDefault="00AF374A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and enterprise planning</w:t>
            </w:r>
          </w:p>
          <w:p w14:paraId="67737E43" w14:textId="3E85D063" w:rsidR="00AF374A" w:rsidRPr="00281918" w:rsidRDefault="00AF374A" w:rsidP="00AF374A">
            <w:pPr>
              <w:pStyle w:val="NoSpacing"/>
              <w:ind w:left="72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265" w:type="dxa"/>
          </w:tcPr>
          <w:p w14:paraId="4FD8BB4E" w14:textId="77777777" w:rsidR="00AC1D60" w:rsidRDefault="004F317C" w:rsidP="004F317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17C">
              <w:rPr>
                <w:rFonts w:asciiTheme="minorHAnsi" w:hAnsiTheme="minorHAnsi" w:cstheme="minorHAnsi"/>
                <w:b/>
                <w:sz w:val="18"/>
                <w:szCs w:val="18"/>
              </w:rPr>
              <w:t>Topic: Exam revision and preparation</w:t>
            </w:r>
          </w:p>
          <w:p w14:paraId="51F26B27" w14:textId="77777777" w:rsidR="00AF374A" w:rsidRDefault="00AF374A" w:rsidP="004F317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05A456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Entrepreneurship, business organisation and stakeholders</w:t>
            </w:r>
          </w:p>
          <w:p w14:paraId="5F7E6A08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Market research, market types and orientation and marketing mix</w:t>
            </w:r>
          </w:p>
          <w:p w14:paraId="0FB6993D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Human resource requirements for business and enterprise</w:t>
            </w:r>
          </w:p>
          <w:p w14:paraId="6B2174F3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Operations management</w:t>
            </w:r>
          </w:p>
          <w:p w14:paraId="7D908C87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growth</w:t>
            </w:r>
          </w:p>
          <w:p w14:paraId="2D6C19CB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Sources of enterprise funding and business finance</w:t>
            </w:r>
          </w:p>
          <w:p w14:paraId="2726593D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The impact of the external environment on business and enterprise</w:t>
            </w:r>
          </w:p>
          <w:p w14:paraId="053A407F" w14:textId="77777777" w:rsidR="00AF374A" w:rsidRPr="00AF374A" w:rsidRDefault="00AF374A" w:rsidP="00AF374A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and enterprise planning</w:t>
            </w:r>
          </w:p>
          <w:p w14:paraId="07482F2B" w14:textId="48968829" w:rsidR="00AF374A" w:rsidRPr="00281918" w:rsidRDefault="00AF374A" w:rsidP="004F317C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4" w:type="dxa"/>
          </w:tcPr>
          <w:p w14:paraId="6F1A8881" w14:textId="77777777" w:rsidR="00AC1D60" w:rsidRDefault="004F317C" w:rsidP="00E104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Exam revision and preparation</w:t>
            </w:r>
            <w:r w:rsidRPr="00F70A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782933" w14:textId="77777777" w:rsidR="00517500" w:rsidRDefault="00517500" w:rsidP="00E104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D143D2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Entrepreneurship, business organisation and stakeholders</w:t>
            </w:r>
          </w:p>
          <w:p w14:paraId="0F23B545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Market research, market types and orientation and marketing mix</w:t>
            </w:r>
          </w:p>
          <w:p w14:paraId="67EDD3C8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Human resource requirements for business and enterprise</w:t>
            </w:r>
          </w:p>
          <w:p w14:paraId="29E296F2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Operations management</w:t>
            </w:r>
          </w:p>
          <w:p w14:paraId="74C57BFB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growth</w:t>
            </w:r>
          </w:p>
          <w:p w14:paraId="5732439E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Sources of enterprise funding and business finance</w:t>
            </w:r>
          </w:p>
          <w:p w14:paraId="3E58F2EB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The impact of the external environment on business and enterprise</w:t>
            </w:r>
          </w:p>
          <w:p w14:paraId="756BF823" w14:textId="77777777" w:rsidR="00517500" w:rsidRPr="00AF374A" w:rsidRDefault="00517500" w:rsidP="00517500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Business and enterprise planning</w:t>
            </w:r>
          </w:p>
          <w:p w14:paraId="583A9080" w14:textId="67F3BBCA" w:rsidR="00517500" w:rsidRPr="00F70A94" w:rsidRDefault="00517500" w:rsidP="00E1049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A18074" w14:textId="77777777" w:rsidR="00AC1D60" w:rsidRPr="00A414E4" w:rsidRDefault="00AC1D60" w:rsidP="00AC1D60">
      <w:pPr>
        <w:rPr>
          <w:rFonts w:cstheme="minorHAnsi"/>
          <w:i/>
          <w:sz w:val="18"/>
          <w:szCs w:val="18"/>
        </w:rPr>
      </w:pPr>
    </w:p>
    <w:p w14:paraId="2600C3D0" w14:textId="77777777" w:rsidR="00AC1D60" w:rsidRDefault="00AC1D60">
      <w:pPr>
        <w:rPr>
          <w:rFonts w:cstheme="minorHAnsi"/>
          <w:i/>
          <w:sz w:val="18"/>
          <w:szCs w:val="18"/>
        </w:rPr>
      </w:pPr>
    </w:p>
    <w:p w14:paraId="12A1253A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53C3FFF3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0948ACA1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33E6E8CB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33B6D2D1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49A597F4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0E83EEE7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5F5382B9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00A6E34E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2775EDF2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205A5FD7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299B6BB1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0ECE57F1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1CD5FA25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4B978206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2BB7EC49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274EB7E9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14C25200" w14:textId="77777777" w:rsidR="00D429F4" w:rsidRDefault="00D429F4">
      <w:pPr>
        <w:rPr>
          <w:rFonts w:cstheme="minorHAnsi"/>
          <w:i/>
          <w:sz w:val="18"/>
          <w:szCs w:val="18"/>
        </w:rPr>
      </w:pPr>
    </w:p>
    <w:p w14:paraId="63EF2F51" w14:textId="77777777" w:rsidR="00D429F4" w:rsidRDefault="00D429F4" w:rsidP="00D429F4">
      <w:pPr>
        <w:rPr>
          <w:rFonts w:cstheme="minorHAnsi"/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441"/>
        <w:tblW w:w="22237" w:type="dxa"/>
        <w:tblLook w:val="04A0" w:firstRow="1" w:lastRow="0" w:firstColumn="1" w:lastColumn="0" w:noHBand="0" w:noVBand="1"/>
      </w:tblPr>
      <w:tblGrid>
        <w:gridCol w:w="651"/>
        <w:gridCol w:w="4027"/>
        <w:gridCol w:w="3964"/>
        <w:gridCol w:w="3835"/>
        <w:gridCol w:w="3111"/>
        <w:gridCol w:w="2977"/>
        <w:gridCol w:w="3672"/>
      </w:tblGrid>
      <w:tr w:rsidR="00D429F4" w:rsidRPr="00A414E4" w14:paraId="4379D5CC" w14:textId="77777777" w:rsidTr="003664EE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710C9" w14:textId="419C3277" w:rsidR="00D429F4" w:rsidRPr="00A414E4" w:rsidRDefault="00D429F4" w:rsidP="003664E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11 (2022</w:t>
            </w:r>
            <w:r w:rsidR="00E41BA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/23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)</w:t>
            </w:r>
          </w:p>
          <w:p w14:paraId="464BF178" w14:textId="77777777" w:rsidR="00D429F4" w:rsidRPr="00A414E4" w:rsidRDefault="00D429F4" w:rsidP="003664E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B6B7F" w14:textId="77777777" w:rsidR="00D429F4" w:rsidRPr="00A414E4" w:rsidRDefault="00D429F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Overview</w:t>
            </w:r>
          </w:p>
          <w:p w14:paraId="1BD7DE5A" w14:textId="77777777" w:rsidR="00D429F4" w:rsidRPr="00A414E4" w:rsidRDefault="00D429F4" w:rsidP="003664EE">
            <w:pPr>
              <w:pStyle w:val="NoSpacing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9F4" w:rsidRPr="00A414E4" w14:paraId="43101FF8" w14:textId="77777777" w:rsidTr="003664EE">
        <w:trPr>
          <w:trHeight w:val="313"/>
        </w:trPr>
        <w:tc>
          <w:tcPr>
            <w:tcW w:w="2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C84E" w14:textId="77777777" w:rsidR="00D429F4" w:rsidRPr="00A414E4" w:rsidRDefault="00D429F4" w:rsidP="003664E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D429F4" w:rsidRPr="00A414E4" w14:paraId="0A0729EE" w14:textId="77777777" w:rsidTr="003664EE">
        <w:trPr>
          <w:trHeight w:val="313"/>
        </w:trPr>
        <w:tc>
          <w:tcPr>
            <w:tcW w:w="651" w:type="dxa"/>
            <w:tcBorders>
              <w:top w:val="single" w:sz="4" w:space="0" w:color="auto"/>
            </w:tcBorders>
          </w:tcPr>
          <w:p w14:paraId="5CA73972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1653A7C7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22583D35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2E30F1C6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26B7F267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DB191B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655F09C8" w14:textId="77777777" w:rsidR="00D429F4" w:rsidRPr="00A414E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4E4">
              <w:rPr>
                <w:rFonts w:asciiTheme="minorHAnsi" w:hAnsiTheme="minorHAnsi" w:cstheme="minorHAnsi"/>
                <w:b/>
                <w:sz w:val="18"/>
                <w:szCs w:val="18"/>
              </w:rPr>
              <w:t>Summer 2</w:t>
            </w:r>
          </w:p>
        </w:tc>
      </w:tr>
      <w:tr w:rsidR="00D429F4" w:rsidRPr="00A414E4" w14:paraId="7DD7DF1B" w14:textId="77777777" w:rsidTr="003664EE">
        <w:trPr>
          <w:trHeight w:val="4202"/>
        </w:trPr>
        <w:tc>
          <w:tcPr>
            <w:tcW w:w="651" w:type="dxa"/>
            <w:vAlign w:val="center"/>
          </w:tcPr>
          <w:p w14:paraId="4FE054FE" w14:textId="5E3EFDDE" w:rsidR="00D429F4" w:rsidRPr="00A414E4" w:rsidRDefault="00337DBB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027" w:type="dxa"/>
          </w:tcPr>
          <w:p w14:paraId="2195D1E3" w14:textId="77777777" w:rsidR="00E41BA9" w:rsidRPr="00281918" w:rsidRDefault="00E41BA9" w:rsidP="00E41B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9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Exam revision and preparation</w:t>
            </w:r>
          </w:p>
          <w:p w14:paraId="0BA1C264" w14:textId="77777777" w:rsidR="00E41BA9" w:rsidRPr="00281918" w:rsidRDefault="00E41BA9" w:rsidP="00E41BA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C46DFB" w14:textId="77777777" w:rsidR="00E41BA9" w:rsidRDefault="00E41BA9" w:rsidP="00E41BA9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Entrepreneurship, business organisation and stakeholders</w:t>
            </w:r>
          </w:p>
          <w:p w14:paraId="5D6C8A20" w14:textId="096F455B" w:rsidR="00E41BA9" w:rsidRPr="00E41BA9" w:rsidRDefault="00E41BA9" w:rsidP="00E41BA9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41BA9">
              <w:rPr>
                <w:sz w:val="18"/>
                <w:szCs w:val="18"/>
              </w:rPr>
              <w:t>Market research, market types and orientation and marketing mix</w:t>
            </w:r>
          </w:p>
          <w:p w14:paraId="27FBDBFF" w14:textId="77777777" w:rsidR="00E41BA9" w:rsidRPr="00AF374A" w:rsidRDefault="00E41BA9" w:rsidP="00E41BA9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Human resource requirements for business and enterprise</w:t>
            </w:r>
          </w:p>
          <w:p w14:paraId="48ED5A59" w14:textId="0EDE199E" w:rsidR="00E41BA9" w:rsidRPr="002F12CA" w:rsidRDefault="00E41BA9" w:rsidP="002F12C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Operations management</w:t>
            </w:r>
          </w:p>
          <w:p w14:paraId="7CA98AF4" w14:textId="77777777" w:rsidR="00E41BA9" w:rsidRPr="00AF374A" w:rsidRDefault="00E41BA9" w:rsidP="00E41BA9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AF374A">
              <w:rPr>
                <w:sz w:val="18"/>
                <w:szCs w:val="18"/>
              </w:rPr>
              <w:t>The impact of the external environment on business and enterprise</w:t>
            </w:r>
          </w:p>
          <w:p w14:paraId="0F449E8A" w14:textId="6E101707" w:rsidR="00E41BA9" w:rsidRPr="00AF374A" w:rsidRDefault="00E41BA9" w:rsidP="002F12CA">
            <w:pPr>
              <w:pStyle w:val="NoSpacing"/>
              <w:ind w:left="720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7513FD6C" w14:textId="06205627" w:rsidR="00D429F4" w:rsidRPr="00F70A94" w:rsidRDefault="00D429F4" w:rsidP="00E41BA9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4" w:type="dxa"/>
          </w:tcPr>
          <w:p w14:paraId="1AEE1751" w14:textId="77777777" w:rsidR="00D429F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Synoptic Project Preparation</w:t>
            </w:r>
          </w:p>
          <w:p w14:paraId="3B01344D" w14:textId="77777777" w:rsidR="00D429F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403874" w14:textId="2EEF4427" w:rsidR="00D429F4" w:rsidRDefault="00D429F4" w:rsidP="00241EBF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Planning for the synoptic project</w:t>
            </w:r>
          </w:p>
          <w:p w14:paraId="12C282C0" w14:textId="77777777" w:rsidR="00D429F4" w:rsidRDefault="00D429F4" w:rsidP="003664EE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F48A3">
              <w:rPr>
                <w:rFonts w:asciiTheme="minorHAnsi" w:hAnsiTheme="minorHAnsi" w:cstheme="minorHAnsi"/>
                <w:sz w:val="18"/>
                <w:szCs w:val="18"/>
              </w:rPr>
              <w:t xml:space="preserve">Sections to include,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Example models,</w:t>
            </w:r>
          </w:p>
          <w:p w14:paraId="4B1EB39A" w14:textId="77777777" w:rsidR="00D429F4" w:rsidRPr="00BF48A3" w:rsidRDefault="00D429F4" w:rsidP="003664EE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‘Mock’ synoptic project.</w:t>
            </w:r>
          </w:p>
          <w:p w14:paraId="73DCE918" w14:textId="77777777" w:rsidR="00D429F4" w:rsidRPr="00F70A94" w:rsidRDefault="00D429F4" w:rsidP="003664EE">
            <w:pPr>
              <w:pStyle w:val="NoSpacing"/>
              <w:tabs>
                <w:tab w:val="left" w:pos="7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728DD" w14:textId="77777777" w:rsidR="00D429F4" w:rsidRPr="00F70A94" w:rsidRDefault="00D429F4" w:rsidP="003664E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</w:tcPr>
          <w:p w14:paraId="4B179CE5" w14:textId="77777777" w:rsidR="00D429F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Synoptic Project</w:t>
            </w:r>
          </w:p>
          <w:p w14:paraId="63EAEBB5" w14:textId="77777777" w:rsidR="00D429F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617BE2" w14:textId="2C741834" w:rsidR="00D429F4" w:rsidRDefault="00D429F4" w:rsidP="00241EBF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Externally set synoptic project.</w:t>
            </w:r>
          </w:p>
          <w:p w14:paraId="24DA73FB" w14:textId="77777777" w:rsidR="00D429F4" w:rsidRPr="0072143B" w:rsidRDefault="00D429F4" w:rsidP="003664EE">
            <w:pPr>
              <w:pStyle w:val="NoSpacing"/>
              <w:ind w:left="7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 hrs </w:t>
            </w:r>
          </w:p>
          <w:p w14:paraId="6BA026B8" w14:textId="77777777" w:rsidR="00D429F4" w:rsidRPr="00F70A94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FA4612" w14:textId="77777777" w:rsidR="00D429F4" w:rsidRPr="00F70A94" w:rsidRDefault="00D429F4" w:rsidP="003664E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1" w:type="dxa"/>
          </w:tcPr>
          <w:p w14:paraId="6A64A3E9" w14:textId="77777777" w:rsidR="00241EBF" w:rsidRDefault="00241EBF" w:rsidP="00241EB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0A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Topic: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Synoptic Project</w:t>
            </w:r>
          </w:p>
          <w:p w14:paraId="0602929B" w14:textId="77777777" w:rsidR="00D429F4" w:rsidRPr="00281918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7382F8" w14:textId="77777777" w:rsidR="00D429F4" w:rsidRDefault="000C0F19" w:rsidP="00A938A9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Marking and moderation of Synoptic project.</w:t>
            </w:r>
          </w:p>
          <w:p w14:paraId="2BBF019A" w14:textId="32AB908A" w:rsidR="000C0F19" w:rsidRPr="00281918" w:rsidRDefault="000C0F19" w:rsidP="00A938A9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Revision for March resit</w:t>
            </w:r>
          </w:p>
        </w:tc>
        <w:tc>
          <w:tcPr>
            <w:tcW w:w="2977" w:type="dxa"/>
          </w:tcPr>
          <w:p w14:paraId="65B3AE5D" w14:textId="77777777" w:rsidR="00D429F4" w:rsidRPr="00281918" w:rsidRDefault="00D429F4" w:rsidP="000C0F19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6DCAE22" w14:textId="77777777" w:rsidR="00D429F4" w:rsidRPr="00E13506" w:rsidRDefault="00D429F4" w:rsidP="003664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1132D5" w14:textId="77777777" w:rsidR="00D429F4" w:rsidRPr="00F70A94" w:rsidRDefault="00D429F4" w:rsidP="003664E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A14C0C" w14:textId="77777777" w:rsidR="00D429F4" w:rsidRPr="00A414E4" w:rsidRDefault="00D429F4">
      <w:pPr>
        <w:rPr>
          <w:rFonts w:cstheme="minorHAnsi"/>
          <w:i/>
          <w:sz w:val="18"/>
          <w:szCs w:val="18"/>
        </w:rPr>
      </w:pPr>
    </w:p>
    <w:sectPr w:rsidR="00D429F4" w:rsidRPr="00A414E4" w:rsidSect="00181129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5CED" w14:textId="77777777" w:rsidR="006655CA" w:rsidRDefault="006655CA" w:rsidP="00317069">
      <w:pPr>
        <w:spacing w:after="0" w:line="240" w:lineRule="auto"/>
      </w:pPr>
      <w:r>
        <w:separator/>
      </w:r>
    </w:p>
  </w:endnote>
  <w:endnote w:type="continuationSeparator" w:id="0">
    <w:p w14:paraId="643BB2E7" w14:textId="77777777" w:rsidR="006655CA" w:rsidRDefault="006655CA" w:rsidP="00317069">
      <w:pPr>
        <w:spacing w:after="0" w:line="240" w:lineRule="auto"/>
      </w:pPr>
      <w:r>
        <w:continuationSeparator/>
      </w:r>
    </w:p>
  </w:endnote>
  <w:endnote w:type="continuationNotice" w:id="1">
    <w:p w14:paraId="1B635541" w14:textId="77777777" w:rsidR="006655CA" w:rsidRDefault="00665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61F" w14:textId="77777777" w:rsidR="006655CA" w:rsidRDefault="006655CA" w:rsidP="00317069">
      <w:pPr>
        <w:spacing w:after="0" w:line="240" w:lineRule="auto"/>
      </w:pPr>
      <w:r>
        <w:separator/>
      </w:r>
    </w:p>
  </w:footnote>
  <w:footnote w:type="continuationSeparator" w:id="0">
    <w:p w14:paraId="2377E45F" w14:textId="77777777" w:rsidR="006655CA" w:rsidRDefault="006655CA" w:rsidP="00317069">
      <w:pPr>
        <w:spacing w:after="0" w:line="240" w:lineRule="auto"/>
      </w:pPr>
      <w:r>
        <w:continuationSeparator/>
      </w:r>
    </w:p>
  </w:footnote>
  <w:footnote w:type="continuationNotice" w:id="1">
    <w:p w14:paraId="6DFC7AC9" w14:textId="77777777" w:rsidR="006655CA" w:rsidRDefault="00665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827" w14:textId="0ACDB47A" w:rsidR="00E1231B" w:rsidRDefault="00717A0D" w:rsidP="00717A0D">
    <w:pPr>
      <w:pStyle w:val="Header"/>
      <w:jc w:val="right"/>
    </w:pPr>
    <w:r w:rsidRPr="00717A0D">
      <w:rPr>
        <w:noProof/>
      </w:rPr>
      <w:drawing>
        <wp:anchor distT="0" distB="0" distL="114300" distR="114300" simplePos="0" relativeHeight="251660288" behindDoc="1" locked="0" layoutInCell="1" allowOverlap="1" wp14:anchorId="46B2365F" wp14:editId="5E3274FD">
          <wp:simplePos x="0" y="0"/>
          <wp:positionH relativeFrom="column">
            <wp:posOffset>12886365</wp:posOffset>
          </wp:positionH>
          <wp:positionV relativeFrom="paragraph">
            <wp:posOffset>-315034</wp:posOffset>
          </wp:positionV>
          <wp:extent cx="1156970" cy="669290"/>
          <wp:effectExtent l="0" t="0" r="5080" b="0"/>
          <wp:wrapTight wrapText="bothSides">
            <wp:wrapPolygon edited="0">
              <wp:start x="8891" y="0"/>
              <wp:lineTo x="0" y="2459"/>
              <wp:lineTo x="0" y="9837"/>
              <wp:lineTo x="1778" y="19674"/>
              <wp:lineTo x="1778" y="20903"/>
              <wp:lineTo x="4268" y="20903"/>
              <wp:lineTo x="19917" y="20903"/>
              <wp:lineTo x="19205" y="19674"/>
              <wp:lineTo x="20984" y="9837"/>
              <wp:lineTo x="21339" y="6763"/>
              <wp:lineTo x="21339" y="3074"/>
              <wp:lineTo x="12804" y="0"/>
              <wp:lineTo x="8891" y="0"/>
            </wp:wrapPolygon>
          </wp:wrapTight>
          <wp:docPr id="5" name="Picture 4" descr="Oasis Academy Brightstowe - Wikipedia">
            <a:extLst xmlns:a="http://schemas.openxmlformats.org/drawingml/2006/main">
              <a:ext uri="{FF2B5EF4-FFF2-40B4-BE49-F238E27FC236}">
                <a16:creationId xmlns:a16="http://schemas.microsoft.com/office/drawing/2014/main" id="{76DABDD6-59E8-B9BD-48D8-024D0A91BF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Oasis Academy Brightstowe - Wikipedia">
                    <a:extLst>
                      <a:ext uri="{FF2B5EF4-FFF2-40B4-BE49-F238E27FC236}">
                        <a16:creationId xmlns:a16="http://schemas.microsoft.com/office/drawing/2014/main" id="{76DABDD6-59E8-B9BD-48D8-024D0A91BF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76B78" wp14:editId="669F0DC2">
              <wp:simplePos x="0" y="0"/>
              <wp:positionH relativeFrom="column">
                <wp:posOffset>-935666</wp:posOffset>
              </wp:positionH>
              <wp:positionV relativeFrom="paragraph">
                <wp:posOffset>-447202</wp:posOffset>
              </wp:positionV>
              <wp:extent cx="15674975" cy="803910"/>
              <wp:effectExtent l="0" t="0" r="3175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5674975" cy="803910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44F83" id="Freeform 4" o:spid="_x0000_s1026" style="position:absolute;margin-left:-73.65pt;margin-top:-35.2pt;width:1234.25pt;height:6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" path="m12210,2490l,1590,,,12300,r-90,2490xe" fillcolor="#002060" stroked="f">
              <v:path arrowok="t" o:connecttype="custom" o:connectlocs="2147483646,510482850;0,325970977;0,0;2147483646,0;2147483646,51048285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1D8"/>
    <w:multiLevelType w:val="hybridMultilevel"/>
    <w:tmpl w:val="3E4C7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5DA3"/>
    <w:multiLevelType w:val="hybridMultilevel"/>
    <w:tmpl w:val="3E4C7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083"/>
    <w:multiLevelType w:val="hybridMultilevel"/>
    <w:tmpl w:val="E95611C6"/>
    <w:lvl w:ilvl="0" w:tplc="2E8C0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056"/>
    <w:multiLevelType w:val="hybridMultilevel"/>
    <w:tmpl w:val="F6DCE5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17"/>
    <w:multiLevelType w:val="hybridMultilevel"/>
    <w:tmpl w:val="F482E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112F"/>
    <w:multiLevelType w:val="hybridMultilevel"/>
    <w:tmpl w:val="F6DCE5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3FF"/>
    <w:multiLevelType w:val="hybridMultilevel"/>
    <w:tmpl w:val="1596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6FE"/>
    <w:multiLevelType w:val="hybridMultilevel"/>
    <w:tmpl w:val="3E4C7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74E0"/>
    <w:multiLevelType w:val="hybridMultilevel"/>
    <w:tmpl w:val="2DB4B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26E"/>
    <w:multiLevelType w:val="hybridMultilevel"/>
    <w:tmpl w:val="C8FAC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2504B"/>
    <w:multiLevelType w:val="hybridMultilevel"/>
    <w:tmpl w:val="0B80A8DA"/>
    <w:lvl w:ilvl="0" w:tplc="1BF607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73649"/>
    <w:multiLevelType w:val="hybridMultilevel"/>
    <w:tmpl w:val="7EFC2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A5711"/>
    <w:multiLevelType w:val="hybridMultilevel"/>
    <w:tmpl w:val="3878D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5A7D"/>
    <w:multiLevelType w:val="hybridMultilevel"/>
    <w:tmpl w:val="E9AC0286"/>
    <w:lvl w:ilvl="0" w:tplc="2CCE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858D8"/>
    <w:multiLevelType w:val="hybridMultilevel"/>
    <w:tmpl w:val="5DCE3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270E"/>
    <w:multiLevelType w:val="hybridMultilevel"/>
    <w:tmpl w:val="0E4A83B0"/>
    <w:lvl w:ilvl="0" w:tplc="49D4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53118"/>
    <w:multiLevelType w:val="hybridMultilevel"/>
    <w:tmpl w:val="951CB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46F9"/>
    <w:multiLevelType w:val="hybridMultilevel"/>
    <w:tmpl w:val="F99EA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4445">
    <w:abstractNumId w:val="11"/>
  </w:num>
  <w:num w:numId="2" w16cid:durableId="1539006752">
    <w:abstractNumId w:val="3"/>
  </w:num>
  <w:num w:numId="3" w16cid:durableId="1914194475">
    <w:abstractNumId w:val="5"/>
  </w:num>
  <w:num w:numId="4" w16cid:durableId="924068984">
    <w:abstractNumId w:val="8"/>
  </w:num>
  <w:num w:numId="5" w16cid:durableId="1268780216">
    <w:abstractNumId w:val="2"/>
  </w:num>
  <w:num w:numId="6" w16cid:durableId="219559326">
    <w:abstractNumId w:val="14"/>
  </w:num>
  <w:num w:numId="7" w16cid:durableId="750084888">
    <w:abstractNumId w:val="9"/>
  </w:num>
  <w:num w:numId="8" w16cid:durableId="1777869405">
    <w:abstractNumId w:val="10"/>
  </w:num>
  <w:num w:numId="9" w16cid:durableId="1595087369">
    <w:abstractNumId w:val="4"/>
  </w:num>
  <w:num w:numId="10" w16cid:durableId="56244651">
    <w:abstractNumId w:val="6"/>
  </w:num>
  <w:num w:numId="11" w16cid:durableId="1276669496">
    <w:abstractNumId w:val="0"/>
  </w:num>
  <w:num w:numId="12" w16cid:durableId="655690046">
    <w:abstractNumId w:val="7"/>
  </w:num>
  <w:num w:numId="13" w16cid:durableId="2016953022">
    <w:abstractNumId w:val="1"/>
  </w:num>
  <w:num w:numId="14" w16cid:durableId="2101094472">
    <w:abstractNumId w:val="17"/>
  </w:num>
  <w:num w:numId="15" w16cid:durableId="1383284664">
    <w:abstractNumId w:val="15"/>
  </w:num>
  <w:num w:numId="16" w16cid:durableId="1295334804">
    <w:abstractNumId w:val="12"/>
  </w:num>
  <w:num w:numId="17" w16cid:durableId="1110199099">
    <w:abstractNumId w:val="16"/>
  </w:num>
  <w:num w:numId="18" w16cid:durableId="37226637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9"/>
    <w:rsid w:val="00002515"/>
    <w:rsid w:val="00003DD6"/>
    <w:rsid w:val="00023683"/>
    <w:rsid w:val="00025CA4"/>
    <w:rsid w:val="00033918"/>
    <w:rsid w:val="000432DB"/>
    <w:rsid w:val="00072B67"/>
    <w:rsid w:val="00086C29"/>
    <w:rsid w:val="00091FD6"/>
    <w:rsid w:val="00092863"/>
    <w:rsid w:val="00097E6E"/>
    <w:rsid w:val="000A1AC9"/>
    <w:rsid w:val="000A5589"/>
    <w:rsid w:val="000C0F19"/>
    <w:rsid w:val="000C134C"/>
    <w:rsid w:val="000D44FF"/>
    <w:rsid w:val="000E4A88"/>
    <w:rsid w:val="000F1B0B"/>
    <w:rsid w:val="000F6233"/>
    <w:rsid w:val="00112C8E"/>
    <w:rsid w:val="00115015"/>
    <w:rsid w:val="0013020F"/>
    <w:rsid w:val="001325A9"/>
    <w:rsid w:val="001326AD"/>
    <w:rsid w:val="00137261"/>
    <w:rsid w:val="00141352"/>
    <w:rsid w:val="0015302D"/>
    <w:rsid w:val="00172534"/>
    <w:rsid w:val="0017572F"/>
    <w:rsid w:val="00181129"/>
    <w:rsid w:val="001A570A"/>
    <w:rsid w:val="001C2958"/>
    <w:rsid w:val="00201FBE"/>
    <w:rsid w:val="00211F7F"/>
    <w:rsid w:val="00216624"/>
    <w:rsid w:val="00223852"/>
    <w:rsid w:val="002323A5"/>
    <w:rsid w:val="00241EBF"/>
    <w:rsid w:val="0024356C"/>
    <w:rsid w:val="00251FF3"/>
    <w:rsid w:val="0025727F"/>
    <w:rsid w:val="00272608"/>
    <w:rsid w:val="00281918"/>
    <w:rsid w:val="00284314"/>
    <w:rsid w:val="002901A3"/>
    <w:rsid w:val="00290C1D"/>
    <w:rsid w:val="002979B4"/>
    <w:rsid w:val="002D15BB"/>
    <w:rsid w:val="002E31B5"/>
    <w:rsid w:val="002F12CA"/>
    <w:rsid w:val="003000DA"/>
    <w:rsid w:val="00313AC4"/>
    <w:rsid w:val="00317069"/>
    <w:rsid w:val="003269AC"/>
    <w:rsid w:val="00337DBB"/>
    <w:rsid w:val="003619A9"/>
    <w:rsid w:val="00366A36"/>
    <w:rsid w:val="00374148"/>
    <w:rsid w:val="003804B6"/>
    <w:rsid w:val="00380EF4"/>
    <w:rsid w:val="0039068E"/>
    <w:rsid w:val="00396DED"/>
    <w:rsid w:val="003A3AD9"/>
    <w:rsid w:val="003B49CA"/>
    <w:rsid w:val="003C1963"/>
    <w:rsid w:val="003C3750"/>
    <w:rsid w:val="003D2380"/>
    <w:rsid w:val="003D4B18"/>
    <w:rsid w:val="003F3BC7"/>
    <w:rsid w:val="004172AB"/>
    <w:rsid w:val="00422100"/>
    <w:rsid w:val="00427AF0"/>
    <w:rsid w:val="0046411B"/>
    <w:rsid w:val="00477920"/>
    <w:rsid w:val="004820F2"/>
    <w:rsid w:val="0049480E"/>
    <w:rsid w:val="004A0009"/>
    <w:rsid w:val="004B66FD"/>
    <w:rsid w:val="004B7E83"/>
    <w:rsid w:val="004C50D5"/>
    <w:rsid w:val="004C79BF"/>
    <w:rsid w:val="004F317C"/>
    <w:rsid w:val="00500FD4"/>
    <w:rsid w:val="00517500"/>
    <w:rsid w:val="00524F76"/>
    <w:rsid w:val="0052524A"/>
    <w:rsid w:val="00533E1D"/>
    <w:rsid w:val="00535F84"/>
    <w:rsid w:val="005367E2"/>
    <w:rsid w:val="00545490"/>
    <w:rsid w:val="00563CE2"/>
    <w:rsid w:val="00581189"/>
    <w:rsid w:val="005B1F0C"/>
    <w:rsid w:val="005B23DE"/>
    <w:rsid w:val="005E2AA0"/>
    <w:rsid w:val="0061741E"/>
    <w:rsid w:val="0062357A"/>
    <w:rsid w:val="00652FE6"/>
    <w:rsid w:val="0066193A"/>
    <w:rsid w:val="006655CA"/>
    <w:rsid w:val="0067348E"/>
    <w:rsid w:val="006A6478"/>
    <w:rsid w:val="006B053C"/>
    <w:rsid w:val="006B1114"/>
    <w:rsid w:val="006B7617"/>
    <w:rsid w:val="006C063E"/>
    <w:rsid w:val="006E2EB1"/>
    <w:rsid w:val="006E6787"/>
    <w:rsid w:val="007163E7"/>
    <w:rsid w:val="00717435"/>
    <w:rsid w:val="00717A0D"/>
    <w:rsid w:val="0072143B"/>
    <w:rsid w:val="0073104E"/>
    <w:rsid w:val="00750F25"/>
    <w:rsid w:val="00760FD2"/>
    <w:rsid w:val="0077005E"/>
    <w:rsid w:val="00792902"/>
    <w:rsid w:val="007A543D"/>
    <w:rsid w:val="007C5D7F"/>
    <w:rsid w:val="007D709F"/>
    <w:rsid w:val="008077FB"/>
    <w:rsid w:val="0081238B"/>
    <w:rsid w:val="00813A93"/>
    <w:rsid w:val="00814DCE"/>
    <w:rsid w:val="008170D8"/>
    <w:rsid w:val="00820940"/>
    <w:rsid w:val="00832FFF"/>
    <w:rsid w:val="00841CBA"/>
    <w:rsid w:val="008512C2"/>
    <w:rsid w:val="008579D5"/>
    <w:rsid w:val="008745F9"/>
    <w:rsid w:val="00883D97"/>
    <w:rsid w:val="00886707"/>
    <w:rsid w:val="00887C82"/>
    <w:rsid w:val="00891BA2"/>
    <w:rsid w:val="00892C61"/>
    <w:rsid w:val="00892E2B"/>
    <w:rsid w:val="008A08DD"/>
    <w:rsid w:val="008B3589"/>
    <w:rsid w:val="008B5F32"/>
    <w:rsid w:val="008C57D9"/>
    <w:rsid w:val="008D65BB"/>
    <w:rsid w:val="008E05E5"/>
    <w:rsid w:val="008F4628"/>
    <w:rsid w:val="00900A65"/>
    <w:rsid w:val="00906003"/>
    <w:rsid w:val="00915334"/>
    <w:rsid w:val="00915592"/>
    <w:rsid w:val="00923F11"/>
    <w:rsid w:val="00927D35"/>
    <w:rsid w:val="00933F1A"/>
    <w:rsid w:val="009423B0"/>
    <w:rsid w:val="00947411"/>
    <w:rsid w:val="009501F1"/>
    <w:rsid w:val="00954043"/>
    <w:rsid w:val="00961DFC"/>
    <w:rsid w:val="0096396F"/>
    <w:rsid w:val="009731EF"/>
    <w:rsid w:val="00983C38"/>
    <w:rsid w:val="00991BF5"/>
    <w:rsid w:val="009B3509"/>
    <w:rsid w:val="009F2571"/>
    <w:rsid w:val="00A0254D"/>
    <w:rsid w:val="00A1015D"/>
    <w:rsid w:val="00A21C42"/>
    <w:rsid w:val="00A26164"/>
    <w:rsid w:val="00A32260"/>
    <w:rsid w:val="00A37C93"/>
    <w:rsid w:val="00A41155"/>
    <w:rsid w:val="00A414E4"/>
    <w:rsid w:val="00A4561E"/>
    <w:rsid w:val="00A51FA1"/>
    <w:rsid w:val="00A909BF"/>
    <w:rsid w:val="00A938A9"/>
    <w:rsid w:val="00A97F42"/>
    <w:rsid w:val="00AB0306"/>
    <w:rsid w:val="00AC1D60"/>
    <w:rsid w:val="00AD0F1C"/>
    <w:rsid w:val="00AE5F95"/>
    <w:rsid w:val="00AE70CF"/>
    <w:rsid w:val="00AF374A"/>
    <w:rsid w:val="00B32DC9"/>
    <w:rsid w:val="00B74A2D"/>
    <w:rsid w:val="00B80B4C"/>
    <w:rsid w:val="00BA1B95"/>
    <w:rsid w:val="00BD0424"/>
    <w:rsid w:val="00BE7F0B"/>
    <w:rsid w:val="00BF48A3"/>
    <w:rsid w:val="00C078E0"/>
    <w:rsid w:val="00C154AD"/>
    <w:rsid w:val="00C1709B"/>
    <w:rsid w:val="00C4731F"/>
    <w:rsid w:val="00C627F3"/>
    <w:rsid w:val="00C851F9"/>
    <w:rsid w:val="00C87867"/>
    <w:rsid w:val="00CB2415"/>
    <w:rsid w:val="00CE118A"/>
    <w:rsid w:val="00CF4370"/>
    <w:rsid w:val="00D04FD4"/>
    <w:rsid w:val="00D21D91"/>
    <w:rsid w:val="00D24BC1"/>
    <w:rsid w:val="00D25401"/>
    <w:rsid w:val="00D3704A"/>
    <w:rsid w:val="00D429F4"/>
    <w:rsid w:val="00D50CDA"/>
    <w:rsid w:val="00D52328"/>
    <w:rsid w:val="00D81EEA"/>
    <w:rsid w:val="00D8354B"/>
    <w:rsid w:val="00D87B95"/>
    <w:rsid w:val="00D95229"/>
    <w:rsid w:val="00DA25D0"/>
    <w:rsid w:val="00DA7F9E"/>
    <w:rsid w:val="00DB0C8C"/>
    <w:rsid w:val="00DC7300"/>
    <w:rsid w:val="00DC73C4"/>
    <w:rsid w:val="00DD0195"/>
    <w:rsid w:val="00E10495"/>
    <w:rsid w:val="00E121EB"/>
    <w:rsid w:val="00E1231B"/>
    <w:rsid w:val="00E13506"/>
    <w:rsid w:val="00E20CD8"/>
    <w:rsid w:val="00E27C12"/>
    <w:rsid w:val="00E3372B"/>
    <w:rsid w:val="00E41BA9"/>
    <w:rsid w:val="00E47844"/>
    <w:rsid w:val="00E75089"/>
    <w:rsid w:val="00E759CC"/>
    <w:rsid w:val="00E76C66"/>
    <w:rsid w:val="00E9050F"/>
    <w:rsid w:val="00EA3390"/>
    <w:rsid w:val="00EA363F"/>
    <w:rsid w:val="00EB1F3C"/>
    <w:rsid w:val="00EE5F72"/>
    <w:rsid w:val="00F2297E"/>
    <w:rsid w:val="00F26599"/>
    <w:rsid w:val="00F33CA4"/>
    <w:rsid w:val="00F37874"/>
    <w:rsid w:val="00F379CC"/>
    <w:rsid w:val="00F428C0"/>
    <w:rsid w:val="00F474A1"/>
    <w:rsid w:val="00F567EE"/>
    <w:rsid w:val="00F61EA0"/>
    <w:rsid w:val="00F70A94"/>
    <w:rsid w:val="00F80834"/>
    <w:rsid w:val="00FA6A0E"/>
    <w:rsid w:val="00FC21EA"/>
    <w:rsid w:val="00FD1467"/>
    <w:rsid w:val="00FD3BA2"/>
    <w:rsid w:val="00FD439B"/>
    <w:rsid w:val="00FD5FFE"/>
    <w:rsid w:val="00FE29CB"/>
    <w:rsid w:val="00FE464F"/>
    <w:rsid w:val="00FF370E"/>
    <w:rsid w:val="00FF39D7"/>
    <w:rsid w:val="01560869"/>
    <w:rsid w:val="03B2890F"/>
    <w:rsid w:val="040687DA"/>
    <w:rsid w:val="053B1423"/>
    <w:rsid w:val="054E5970"/>
    <w:rsid w:val="06BCBD77"/>
    <w:rsid w:val="06EA29D1"/>
    <w:rsid w:val="089E9EE0"/>
    <w:rsid w:val="08A37D6F"/>
    <w:rsid w:val="0BBD9AF4"/>
    <w:rsid w:val="0C221FF5"/>
    <w:rsid w:val="0E5CD2D1"/>
    <w:rsid w:val="1118EDC5"/>
    <w:rsid w:val="11525144"/>
    <w:rsid w:val="116BA6AD"/>
    <w:rsid w:val="12454C10"/>
    <w:rsid w:val="12E49E89"/>
    <w:rsid w:val="13FF4CAC"/>
    <w:rsid w:val="1449A326"/>
    <w:rsid w:val="15B4E4FE"/>
    <w:rsid w:val="17DAE831"/>
    <w:rsid w:val="1A849861"/>
    <w:rsid w:val="1BD1ECC0"/>
    <w:rsid w:val="1E2677C8"/>
    <w:rsid w:val="1EF09836"/>
    <w:rsid w:val="1F16EA22"/>
    <w:rsid w:val="1F3C657A"/>
    <w:rsid w:val="1F46D472"/>
    <w:rsid w:val="2259CC81"/>
    <w:rsid w:val="2462FFFD"/>
    <w:rsid w:val="27BB7884"/>
    <w:rsid w:val="28CEC086"/>
    <w:rsid w:val="29BD96C8"/>
    <w:rsid w:val="2CCFAD5C"/>
    <w:rsid w:val="2E2CC972"/>
    <w:rsid w:val="2E683B05"/>
    <w:rsid w:val="2E9107EB"/>
    <w:rsid w:val="2EFF9322"/>
    <w:rsid w:val="2F46C5BB"/>
    <w:rsid w:val="32A925A1"/>
    <w:rsid w:val="33552AF7"/>
    <w:rsid w:val="33922BF0"/>
    <w:rsid w:val="3475A80D"/>
    <w:rsid w:val="349C0400"/>
    <w:rsid w:val="380F1D4B"/>
    <w:rsid w:val="38560A7C"/>
    <w:rsid w:val="388D4D0B"/>
    <w:rsid w:val="38BD1F83"/>
    <w:rsid w:val="38E71F55"/>
    <w:rsid w:val="3903C13C"/>
    <w:rsid w:val="39479CBC"/>
    <w:rsid w:val="3A580C4F"/>
    <w:rsid w:val="3BF65AB8"/>
    <w:rsid w:val="3CF1984F"/>
    <w:rsid w:val="3D0E41EC"/>
    <w:rsid w:val="3D15CE72"/>
    <w:rsid w:val="3EB57082"/>
    <w:rsid w:val="405F58B8"/>
    <w:rsid w:val="4202A995"/>
    <w:rsid w:val="439E79F6"/>
    <w:rsid w:val="43AE3BCF"/>
    <w:rsid w:val="465C74F4"/>
    <w:rsid w:val="473D879B"/>
    <w:rsid w:val="4A0178D1"/>
    <w:rsid w:val="4BD38BAB"/>
    <w:rsid w:val="4C91A451"/>
    <w:rsid w:val="4C9B81D2"/>
    <w:rsid w:val="4D25E853"/>
    <w:rsid w:val="4DF9ED4C"/>
    <w:rsid w:val="4F93B477"/>
    <w:rsid w:val="503A3C8E"/>
    <w:rsid w:val="51C493D7"/>
    <w:rsid w:val="51CCE54F"/>
    <w:rsid w:val="528F47EF"/>
    <w:rsid w:val="52CD63FB"/>
    <w:rsid w:val="532BB69C"/>
    <w:rsid w:val="542965F5"/>
    <w:rsid w:val="54FC3499"/>
    <w:rsid w:val="55A2E62A"/>
    <w:rsid w:val="55C93024"/>
    <w:rsid w:val="55F5F0C2"/>
    <w:rsid w:val="560EFFE2"/>
    <w:rsid w:val="56E1C62F"/>
    <w:rsid w:val="57F01A1E"/>
    <w:rsid w:val="59420347"/>
    <w:rsid w:val="59D4D922"/>
    <w:rsid w:val="5A423C3D"/>
    <w:rsid w:val="5A98A779"/>
    <w:rsid w:val="5C42269C"/>
    <w:rsid w:val="5D901C4A"/>
    <w:rsid w:val="5DA49A14"/>
    <w:rsid w:val="5E468B9F"/>
    <w:rsid w:val="5E875CF0"/>
    <w:rsid w:val="5FC5A854"/>
    <w:rsid w:val="5FD1EAFD"/>
    <w:rsid w:val="5FF9C364"/>
    <w:rsid w:val="6008CE43"/>
    <w:rsid w:val="610FD683"/>
    <w:rsid w:val="62ABA6E4"/>
    <w:rsid w:val="637A5A5C"/>
    <w:rsid w:val="64477745"/>
    <w:rsid w:val="65B3C70E"/>
    <w:rsid w:val="689BA7E0"/>
    <w:rsid w:val="68A33DE5"/>
    <w:rsid w:val="68DFAF3A"/>
    <w:rsid w:val="695FA4E6"/>
    <w:rsid w:val="6A05539A"/>
    <w:rsid w:val="6A1F5354"/>
    <w:rsid w:val="6BAA7BBC"/>
    <w:rsid w:val="6BEA8B95"/>
    <w:rsid w:val="6C5C347D"/>
    <w:rsid w:val="6CBAFF96"/>
    <w:rsid w:val="6D178B21"/>
    <w:rsid w:val="6D6F1903"/>
    <w:rsid w:val="6E6B9003"/>
    <w:rsid w:val="6ED9B45A"/>
    <w:rsid w:val="6F26D8FC"/>
    <w:rsid w:val="704C21AB"/>
    <w:rsid w:val="70BE084C"/>
    <w:rsid w:val="70C2A95D"/>
    <w:rsid w:val="71B0F318"/>
    <w:rsid w:val="71FA1028"/>
    <w:rsid w:val="7207854F"/>
    <w:rsid w:val="7242E187"/>
    <w:rsid w:val="73DE5A87"/>
    <w:rsid w:val="747097F0"/>
    <w:rsid w:val="753F35D6"/>
    <w:rsid w:val="77A30B81"/>
    <w:rsid w:val="787364B3"/>
    <w:rsid w:val="791B3C7A"/>
    <w:rsid w:val="7A30CB38"/>
    <w:rsid w:val="7BFB0747"/>
    <w:rsid w:val="7E0E9F47"/>
    <w:rsid w:val="7E5FD763"/>
    <w:rsid w:val="7FA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38BC"/>
  <w15:chartTrackingRefBased/>
  <w15:docId w15:val="{CE472C07-DA6E-4B0F-B3FC-3CF4F0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69"/>
  </w:style>
  <w:style w:type="paragraph" w:styleId="Footer">
    <w:name w:val="footer"/>
    <w:basedOn w:val="Normal"/>
    <w:link w:val="FooterChar"/>
    <w:uiPriority w:val="99"/>
    <w:unhideWhenUsed/>
    <w:rsid w:val="0031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69"/>
  </w:style>
  <w:style w:type="paragraph" w:styleId="NoSpacing">
    <w:name w:val="No Spacing"/>
    <w:uiPriority w:val="1"/>
    <w:qFormat/>
    <w:rsid w:val="0031706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4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5015341-cbba-43b8-a146-8d1b0f6e16de" xsi:nil="true"/>
    <CultureName xmlns="15015341-cbba-43b8-a146-8d1b0f6e16de" xsi:nil="true"/>
    <DefaultSectionNames xmlns="15015341-cbba-43b8-a146-8d1b0f6e16de" xsi:nil="true"/>
    <AppVersion xmlns="15015341-cbba-43b8-a146-8d1b0f6e16de" xsi:nil="true"/>
    <Owner xmlns="15015341-cbba-43b8-a146-8d1b0f6e16de">
      <UserInfo>
        <DisplayName/>
        <AccountId xsi:nil="true"/>
        <AccountType/>
      </UserInfo>
    </Owner>
    <Students xmlns="15015341-cbba-43b8-a146-8d1b0f6e16de">
      <UserInfo>
        <DisplayName/>
        <AccountId xsi:nil="true"/>
        <AccountType/>
      </UserInfo>
    </Students>
    <Student_Groups xmlns="15015341-cbba-43b8-a146-8d1b0f6e16de">
      <UserInfo>
        <DisplayName/>
        <AccountId xsi:nil="true"/>
        <AccountType/>
      </UserInfo>
    </Student_Groups>
    <Math_Settings xmlns="15015341-cbba-43b8-a146-8d1b0f6e16de" xsi:nil="true"/>
    <Is_Collaboration_Space_Locked xmlns="15015341-cbba-43b8-a146-8d1b0f6e16de" xsi:nil="true"/>
    <Invited_Teachers xmlns="15015341-cbba-43b8-a146-8d1b0f6e16de" xsi:nil="true"/>
    <IsNotebookLocked xmlns="15015341-cbba-43b8-a146-8d1b0f6e16de" xsi:nil="true"/>
    <FolderType xmlns="15015341-cbba-43b8-a146-8d1b0f6e16de" xsi:nil="true"/>
    <Distribution_Groups xmlns="15015341-cbba-43b8-a146-8d1b0f6e16de" xsi:nil="true"/>
    <Templates xmlns="15015341-cbba-43b8-a146-8d1b0f6e16de" xsi:nil="true"/>
    <Self_Registration_Enabled xmlns="15015341-cbba-43b8-a146-8d1b0f6e16de" xsi:nil="true"/>
    <Has_Teacher_Only_SectionGroup xmlns="15015341-cbba-43b8-a146-8d1b0f6e16de" xsi:nil="true"/>
    <Teams_Channel_Section_Location xmlns="15015341-cbba-43b8-a146-8d1b0f6e16de" xsi:nil="true"/>
    <TeamsChannelId xmlns="15015341-cbba-43b8-a146-8d1b0f6e16de" xsi:nil="true"/>
    <Invited_Students xmlns="15015341-cbba-43b8-a146-8d1b0f6e16de" xsi:nil="true"/>
    <Teachers xmlns="15015341-cbba-43b8-a146-8d1b0f6e16de">
      <UserInfo>
        <DisplayName/>
        <AccountId xsi:nil="true"/>
        <AccountType/>
      </UserInfo>
    </Teachers>
    <LMS_Mappings xmlns="15015341-cbba-43b8-a146-8d1b0f6e16de" xsi:nil="true"/>
    <lcf76f155ced4ddcb4097134ff3c332f xmlns="15015341-cbba-43b8-a146-8d1b0f6e16de">
      <Terms xmlns="http://schemas.microsoft.com/office/infopath/2007/PartnerControls"/>
    </lcf76f155ced4ddcb4097134ff3c332f>
    <TaxCatchAll xmlns="6ba7645d-804c-4a1e-8d47-3b94d6443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49D19D5451F41B3286B27B4E2C62D" ma:contentTypeVersion="36" ma:contentTypeDescription="Create a new document." ma:contentTypeScope="" ma:versionID="b3af3a7f3060d6c83995a3f2f2edec8d">
  <xsd:schema xmlns:xsd="http://www.w3.org/2001/XMLSchema" xmlns:xs="http://www.w3.org/2001/XMLSchema" xmlns:p="http://schemas.microsoft.com/office/2006/metadata/properties" xmlns:ns2="15015341-cbba-43b8-a146-8d1b0f6e16de" xmlns:ns3="6ba7645d-804c-4a1e-8d47-3b94d6443e98" targetNamespace="http://schemas.microsoft.com/office/2006/metadata/properties" ma:root="true" ma:fieldsID="4a0d2a29678c4939ba9323e33c4da551" ns2:_="" ns3:_="">
    <xsd:import namespace="15015341-cbba-43b8-a146-8d1b0f6e16de"/>
    <xsd:import namespace="6ba7645d-804c-4a1e-8d47-3b94d6443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5341-cbba-43b8-a146-8d1b0f6e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6ea7f4e-4548-4e32-847b-3d2be3a9a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7645d-804c-4a1e-8d47-3b94d64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4592062a-0da6-4c34-92fb-65574e2e0d5c}" ma:internalName="TaxCatchAll" ma:showField="CatchAllData" ma:web="6ba7645d-804c-4a1e-8d47-3b94d6443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1787-64F4-4A3F-AB47-41FD0403C1EC}">
  <ds:schemaRefs>
    <ds:schemaRef ds:uri="http://schemas.microsoft.com/office/2006/metadata/properties"/>
    <ds:schemaRef ds:uri="http://schemas.microsoft.com/office/infopath/2007/PartnerControls"/>
    <ds:schemaRef ds:uri="15015341-cbba-43b8-a146-8d1b0f6e16de"/>
    <ds:schemaRef ds:uri="6ba7645d-804c-4a1e-8d47-3b94d6443e98"/>
  </ds:schemaRefs>
</ds:datastoreItem>
</file>

<file path=customXml/itemProps2.xml><?xml version="1.0" encoding="utf-8"?>
<ds:datastoreItem xmlns:ds="http://schemas.openxmlformats.org/officeDocument/2006/customXml" ds:itemID="{BEA2C4CC-CD2D-45BE-9475-AE42E9E3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5341-cbba-43b8-a146-8d1b0f6e16de"/>
    <ds:schemaRef ds:uri="6ba7645d-804c-4a1e-8d47-3b94d644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0C050-7B11-47E1-B277-017F62C8A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Chalke</dc:creator>
  <cp:keywords/>
  <dc:description/>
  <cp:lastModifiedBy>Simon McBride</cp:lastModifiedBy>
  <cp:revision>53</cp:revision>
  <cp:lastPrinted>2018-06-19T07:12:00Z</cp:lastPrinted>
  <dcterms:created xsi:type="dcterms:W3CDTF">2022-10-18T12:37:00Z</dcterms:created>
  <dcterms:modified xsi:type="dcterms:W3CDTF">2022-10-20T09:11:00Z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0x01010032649D19D5451F41B3286B27B4E2C62D</vt:lpwstr>
  </property>
</Properties>
</file>